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line="720" w:lineRule="exact"/>
        <w:jc w:val="center"/>
        <w:rPr>
          <w:rFonts w:ascii="Times New Roman" w:hAnsi="Times New Roman" w:eastAsia="方正小标宋简体"/>
          <w:b/>
          <w:bCs/>
          <w:color w:val="FF0000"/>
          <w:sz w:val="44"/>
          <w:szCs w:val="44"/>
        </w:rPr>
      </w:pPr>
      <w:bookmarkStart w:id="0" w:name="_Toc371108258"/>
    </w:p>
    <w:p>
      <w:pPr>
        <w:pStyle w:val="14"/>
        <w:spacing w:line="720" w:lineRule="exact"/>
        <w:jc w:val="center"/>
        <w:rPr>
          <w:rFonts w:ascii="Times New Roman" w:hAnsi="Times New Roman" w:eastAsia="方正小标宋简体"/>
          <w:bCs/>
          <w:sz w:val="44"/>
          <w:szCs w:val="44"/>
        </w:rPr>
      </w:pPr>
    </w:p>
    <w:p>
      <w:pPr>
        <w:pStyle w:val="14"/>
        <w:spacing w:before="0" w:beforeAutospacing="0" w:after="0" w:afterAutospacing="0" w:line="720" w:lineRule="exact"/>
        <w:jc w:val="center"/>
        <w:rPr>
          <w:rFonts w:ascii="Times New Roman" w:hAnsi="Times New Roman" w:eastAsia="方正小标宋简体"/>
          <w:bCs/>
          <w:sz w:val="44"/>
          <w:szCs w:val="44"/>
        </w:rPr>
      </w:pPr>
      <w:r>
        <w:rPr>
          <w:rFonts w:hint="eastAsia" w:ascii="Times New Roman" w:hAnsi="Times New Roman" w:eastAsia="方正小标宋简体"/>
          <w:bCs/>
          <w:sz w:val="44"/>
          <w:szCs w:val="44"/>
        </w:rPr>
        <w:t>关于举办第十二届广东大中专学生科技</w:t>
      </w:r>
    </w:p>
    <w:p>
      <w:pPr>
        <w:pStyle w:val="14"/>
        <w:spacing w:before="0" w:beforeAutospacing="0" w:after="0" w:afterAutospacing="0" w:line="720" w:lineRule="exact"/>
        <w:jc w:val="center"/>
        <w:rPr>
          <w:rFonts w:ascii="Times New Roman" w:hAnsi="Times New Roman" w:eastAsia="方正小标宋简体"/>
          <w:bCs/>
          <w:sz w:val="44"/>
          <w:szCs w:val="44"/>
        </w:rPr>
      </w:pPr>
      <w:r>
        <w:rPr>
          <w:rFonts w:hint="eastAsia" w:ascii="Times New Roman" w:hAnsi="Times New Roman" w:eastAsia="方正小标宋简体"/>
          <w:bCs/>
          <w:sz w:val="44"/>
          <w:szCs w:val="44"/>
        </w:rPr>
        <w:t>学术节之第四届广东大学生金融建模大赛</w:t>
      </w:r>
    </w:p>
    <w:p>
      <w:pPr>
        <w:pStyle w:val="14"/>
        <w:spacing w:before="0" w:beforeAutospacing="0" w:after="0" w:afterAutospacing="0" w:line="720" w:lineRule="exact"/>
        <w:jc w:val="center"/>
        <w:rPr>
          <w:rFonts w:ascii="Times New Roman" w:hAnsi="Times New Roman" w:eastAsia="方正小标宋简体"/>
          <w:bCs/>
          <w:sz w:val="44"/>
          <w:szCs w:val="44"/>
        </w:rPr>
      </w:pPr>
      <w:r>
        <w:rPr>
          <w:rFonts w:hint="eastAsia" w:ascii="Times New Roman" w:hAnsi="Times New Roman" w:eastAsia="方正小标宋简体"/>
          <w:bCs/>
          <w:sz w:val="44"/>
          <w:szCs w:val="44"/>
        </w:rPr>
        <w:t>暨全国邀请赛的通知</w:t>
      </w:r>
    </w:p>
    <w:p>
      <w:pPr>
        <w:widowControl/>
        <w:shd w:val="clear" w:color="auto" w:fill="FFFFFF"/>
        <w:adjustRightInd w:val="0"/>
        <w:snapToGrid w:val="0"/>
        <w:spacing w:line="560" w:lineRule="exact"/>
        <w:jc w:val="left"/>
        <w:rPr>
          <w:rStyle w:val="16"/>
          <w:rFonts w:ascii="Times New Roman" w:hAnsi="Times New Roman" w:eastAsia="方正仿宋_GBK" w:cs="仿宋_GB2312"/>
          <w:b w:val="0"/>
          <w:sz w:val="32"/>
          <w:szCs w:val="32"/>
        </w:rPr>
      </w:pPr>
    </w:p>
    <w:p>
      <w:pPr>
        <w:widowControl/>
        <w:shd w:val="clear" w:color="auto" w:fill="FFFFFF"/>
        <w:adjustRightInd w:val="0"/>
        <w:snapToGrid w:val="0"/>
        <w:spacing w:line="560" w:lineRule="exact"/>
        <w:jc w:val="left"/>
        <w:rPr>
          <w:rStyle w:val="16"/>
          <w:rFonts w:ascii="Times New Roman" w:hAnsi="Times New Roman" w:eastAsia="方正仿宋_GBK" w:cs="仿宋_GB2312"/>
          <w:b w:val="0"/>
          <w:sz w:val="32"/>
          <w:szCs w:val="32"/>
        </w:rPr>
      </w:pPr>
      <w:r>
        <w:rPr>
          <w:rStyle w:val="16"/>
          <w:rFonts w:hint="eastAsia" w:ascii="Times New Roman" w:hAnsi="Times New Roman" w:eastAsia="方正仿宋_GBK" w:cs="仿宋_GB2312"/>
          <w:b w:val="0"/>
          <w:sz w:val="32"/>
          <w:szCs w:val="32"/>
        </w:rPr>
        <w:t>各高校团委、学生会、研究生会：</w:t>
      </w:r>
    </w:p>
    <w:p>
      <w:pPr>
        <w:widowControl/>
        <w:shd w:val="clear" w:color="auto" w:fill="FFFFFF"/>
        <w:adjustRightInd w:val="0"/>
        <w:snapToGrid w:val="0"/>
        <w:spacing w:line="560" w:lineRule="exact"/>
        <w:ind w:firstLine="640" w:firstLineChars="200"/>
        <w:jc w:val="left"/>
        <w:rPr>
          <w:rFonts w:ascii="Times New Roman" w:hAnsi="Times New Roman" w:eastAsia="方正仿宋_GBK" w:cs="仿宋_GB2312"/>
          <w:color w:val="000000"/>
          <w:sz w:val="32"/>
          <w:szCs w:val="32"/>
        </w:rPr>
      </w:pPr>
      <w:bookmarkStart w:id="6" w:name="_GoBack"/>
      <w:bookmarkEnd w:id="6"/>
      <w:r>
        <w:rPr>
          <w:rFonts w:hint="eastAsia" w:ascii="Times New Roman" w:hAnsi="Times New Roman" w:eastAsia="方正仿宋_GBK" w:cs="仿宋_GB2312"/>
          <w:color w:val="000000"/>
          <w:sz w:val="32"/>
          <w:szCs w:val="32"/>
        </w:rPr>
        <w:t>为深入贯彻落实习近平新时代中国特色社会主义思想和党的十九大精神，</w:t>
      </w:r>
      <w:r>
        <w:rPr>
          <w:rFonts w:hint="eastAsia" w:ascii="Times New Roman" w:hAnsi="Times New Roman" w:eastAsia="方正仿宋_GBK" w:cs="方正仿宋_GBK"/>
          <w:color w:val="000000" w:themeColor="text1"/>
          <w:sz w:val="32"/>
          <w:szCs w:val="32"/>
          <w14:textFill>
            <w14:solidFill>
              <w14:schemeClr w14:val="tx1"/>
            </w14:solidFill>
          </w14:textFill>
        </w:rPr>
        <w:t>营造浓厚的创新创业氛围，培养大学生的创新精神和创新创业能力，引导广大青年学生在学业和综合发展上创先争优</w:t>
      </w:r>
      <w:r>
        <w:rPr>
          <w:rFonts w:hint="eastAsia" w:ascii="Times New Roman" w:hAnsi="Times New Roman" w:eastAsia="方正仿宋_GBK" w:cs="仿宋_GB2312"/>
          <w:color w:val="000000"/>
          <w:sz w:val="32"/>
          <w:szCs w:val="32"/>
        </w:rPr>
        <w:t>，按照</w:t>
      </w:r>
      <w:r>
        <w:rPr>
          <w:rFonts w:hint="eastAsia" w:ascii="Times New Roman" w:hAnsi="Times New Roman" w:eastAsia="方正仿宋_GBK" w:cs="方正仿宋_GBK"/>
          <w:sz w:val="32"/>
          <w:szCs w:val="32"/>
        </w:rPr>
        <w:t>《关于举办第十二届广东大中专学生科技学术节的通知》（团粤联发〔2018〕17号）和《灯塔工程——广东青年大学生思想引领行动方案》（团粤联发〔2018〕11号）相关安排</w:t>
      </w:r>
      <w:r>
        <w:rPr>
          <w:rFonts w:hint="eastAsia" w:ascii="Times New Roman" w:hAnsi="Times New Roman" w:eastAsia="方正仿宋_GBK" w:cs="仿宋_GB2312"/>
          <w:color w:val="000000"/>
          <w:sz w:val="32"/>
          <w:szCs w:val="32"/>
        </w:rPr>
        <w:t>，现将第四届广东大学生金融建模大赛暨全国邀请赛有关事项通知如下：</w:t>
      </w:r>
    </w:p>
    <w:p>
      <w:pPr>
        <w:pStyle w:val="2"/>
        <w:numPr>
          <w:ilvl w:val="0"/>
          <w:numId w:val="1"/>
        </w:numPr>
        <w:adjustRightInd w:val="0"/>
        <w:snapToGrid w:val="0"/>
        <w:spacing w:before="0" w:beforeAutospacing="0" w:after="0" w:afterAutospacing="0" w:line="560" w:lineRule="exact"/>
        <w:ind w:firstLine="640" w:firstLineChars="200"/>
        <w:rPr>
          <w:rFonts w:ascii="Times New Roman" w:hAnsi="Times New Roman" w:eastAsia="方正黑体_GBK" w:cs="黑体"/>
          <w:b w:val="0"/>
          <w:sz w:val="32"/>
          <w:szCs w:val="32"/>
        </w:rPr>
      </w:pPr>
      <w:r>
        <w:rPr>
          <w:rFonts w:hint="eastAsia" w:ascii="Times New Roman" w:hAnsi="Times New Roman" w:eastAsia="方正黑体_GBK" w:cs="黑体"/>
          <w:b w:val="0"/>
          <w:sz w:val="32"/>
          <w:szCs w:val="32"/>
        </w:rPr>
        <w:t>比赛时间</w:t>
      </w:r>
    </w:p>
    <w:p>
      <w:pPr>
        <w:pStyle w:val="2"/>
        <w:adjustRightInd w:val="0"/>
        <w:snapToGrid w:val="0"/>
        <w:spacing w:before="0" w:beforeAutospacing="0" w:after="0" w:afterAutospacing="0" w:line="560" w:lineRule="exact"/>
        <w:ind w:left="643"/>
        <w:rPr>
          <w:rFonts w:ascii="Times New Roman" w:hAnsi="Times New Roman" w:eastAsia="方正仿宋_GBK" w:cs="仿宋_GB2312"/>
          <w:b w:val="0"/>
          <w:bCs w:val="0"/>
          <w:color w:val="000000"/>
          <w:kern w:val="2"/>
          <w:sz w:val="32"/>
          <w:szCs w:val="32"/>
        </w:rPr>
      </w:pPr>
      <w:r>
        <w:rPr>
          <w:rFonts w:hint="eastAsia" w:ascii="Times New Roman" w:hAnsi="Times New Roman" w:eastAsia="方正仿宋_GBK" w:cs="仿宋_GB2312"/>
          <w:b w:val="0"/>
          <w:bCs w:val="0"/>
          <w:color w:val="000000"/>
          <w:kern w:val="2"/>
          <w:sz w:val="32"/>
          <w:szCs w:val="32"/>
        </w:rPr>
        <w:t>2018年4月至</w:t>
      </w:r>
      <w:r>
        <w:rPr>
          <w:rFonts w:hint="eastAsia" w:ascii="Times New Roman" w:hAnsi="Times New Roman" w:eastAsia="方正仿宋_GBK" w:cs="仿宋_GB2312"/>
          <w:b w:val="0"/>
          <w:bCs w:val="0"/>
          <w:color w:val="000000"/>
          <w:kern w:val="2"/>
          <w:sz w:val="32"/>
          <w:szCs w:val="32"/>
          <w:lang w:val="en-US" w:eastAsia="zh-CN"/>
        </w:rPr>
        <w:t>8</w:t>
      </w:r>
      <w:r>
        <w:rPr>
          <w:rFonts w:hint="eastAsia" w:ascii="Times New Roman" w:hAnsi="Times New Roman" w:eastAsia="方正仿宋_GBK" w:cs="仿宋_GB2312"/>
          <w:b w:val="0"/>
          <w:bCs w:val="0"/>
          <w:color w:val="000000"/>
          <w:kern w:val="2"/>
          <w:sz w:val="32"/>
          <w:szCs w:val="32"/>
        </w:rPr>
        <w:t>月</w:t>
      </w:r>
    </w:p>
    <w:p>
      <w:pPr>
        <w:pStyle w:val="2"/>
        <w:numPr>
          <w:ilvl w:val="0"/>
          <w:numId w:val="1"/>
        </w:numPr>
        <w:adjustRightInd w:val="0"/>
        <w:snapToGrid w:val="0"/>
        <w:spacing w:before="0" w:beforeAutospacing="0" w:after="0" w:afterAutospacing="0" w:line="560" w:lineRule="exact"/>
        <w:ind w:firstLine="640" w:firstLineChars="200"/>
        <w:rPr>
          <w:rFonts w:ascii="Times New Roman" w:hAnsi="Times New Roman" w:eastAsia="方正黑体_GBK" w:cs="黑体"/>
          <w:b w:val="0"/>
          <w:sz w:val="32"/>
          <w:szCs w:val="32"/>
        </w:rPr>
      </w:pPr>
      <w:r>
        <w:rPr>
          <w:rFonts w:hint="eastAsia" w:ascii="Times New Roman" w:hAnsi="Times New Roman" w:eastAsia="方正黑体_GBK" w:cs="黑体"/>
          <w:b w:val="0"/>
          <w:sz w:val="32"/>
          <w:szCs w:val="32"/>
        </w:rPr>
        <w:t>组织机构</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bCs/>
          <w:sz w:val="32"/>
          <w:szCs w:val="32"/>
          <w:shd w:val="clear" w:color="auto" w:fill="FFFFFF"/>
        </w:rPr>
        <w:t>主办单位：</w:t>
      </w:r>
      <w:r>
        <w:rPr>
          <w:rFonts w:hint="eastAsia" w:ascii="Times New Roman" w:hAnsi="Times New Roman" w:eastAsia="方正仿宋_GBK" w:cs="仿宋_GB2312"/>
          <w:sz w:val="32"/>
          <w:szCs w:val="32"/>
          <w:shd w:val="clear" w:color="auto" w:fill="FFFFFF"/>
        </w:rPr>
        <w:t>共青团广东省委员会、广东省教育厅、广东省科学技术厅、广东省科学技术协会、广东省学生联合会</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承办单位：广东金融学院、上海财经大学、中央财经大学、西南财经大学</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协办单位：21财经APP、南方财经网</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方正仿宋_GBK"/>
          <w:sz w:val="32"/>
          <w:szCs w:val="32"/>
        </w:rPr>
        <w:t>支持单位：</w:t>
      </w:r>
      <w:bookmarkStart w:id="1" w:name="_Toc416261334"/>
      <w:bookmarkStart w:id="2" w:name="_Toc372807642"/>
      <w:r>
        <w:rPr>
          <w:rFonts w:hint="eastAsia" w:ascii="Times New Roman" w:hAnsi="Times New Roman" w:eastAsia="方正仿宋_GBK" w:cs="仿宋_GB2312"/>
          <w:sz w:val="32"/>
          <w:szCs w:val="32"/>
          <w:shd w:val="clear" w:color="auto" w:fill="FFFFFF"/>
        </w:rPr>
        <w:t>横琴宝水基金管理有限公司、深圳前海中融银泰资本管理有限公司、国泰君安深圳香蜜湖路证券营业部、凯纳资本集团、通联数据股份公司</w:t>
      </w:r>
    </w:p>
    <w:p>
      <w:pPr>
        <w:pStyle w:val="2"/>
        <w:numPr>
          <w:ilvl w:val="0"/>
          <w:numId w:val="1"/>
        </w:numPr>
        <w:adjustRightInd w:val="0"/>
        <w:snapToGrid w:val="0"/>
        <w:spacing w:before="0" w:beforeAutospacing="0" w:after="0" w:afterAutospacing="0" w:line="560" w:lineRule="exact"/>
        <w:ind w:firstLine="640" w:firstLineChars="200"/>
        <w:rPr>
          <w:rFonts w:ascii="Times New Roman" w:hAnsi="Times New Roman" w:eastAsia="方正黑体_GBK" w:cs="黑体"/>
          <w:b w:val="0"/>
          <w:sz w:val="32"/>
          <w:szCs w:val="32"/>
        </w:rPr>
      </w:pPr>
      <w:r>
        <w:rPr>
          <w:rFonts w:hint="eastAsia" w:ascii="Times New Roman" w:hAnsi="Times New Roman" w:eastAsia="方正黑体_GBK" w:cs="黑体"/>
          <w:b w:val="0"/>
          <w:sz w:val="32"/>
          <w:szCs w:val="32"/>
        </w:rPr>
        <w:t>报名须知</w:t>
      </w:r>
      <w:bookmarkEnd w:id="1"/>
      <w:bookmarkEnd w:id="2"/>
    </w:p>
    <w:p>
      <w:pPr>
        <w:adjustRightInd w:val="0"/>
        <w:snapToGrid w:val="0"/>
        <w:spacing w:line="560" w:lineRule="exact"/>
        <w:ind w:firstLine="640" w:firstLineChars="200"/>
        <w:jc w:val="left"/>
        <w:rPr>
          <w:rFonts w:ascii="Times New Roman" w:hAnsi="Times New Roman" w:eastAsia="方正仿宋_GBK" w:cs="方正仿宋_GBK"/>
          <w:sz w:val="32"/>
          <w:szCs w:val="32"/>
        </w:rPr>
      </w:pPr>
      <w:r>
        <w:rPr>
          <w:rFonts w:hint="eastAsia" w:ascii="Times New Roman" w:hAnsi="Times New Roman" w:eastAsia="方正仿宋_GBK" w:cs="仿宋_GB2312"/>
          <w:sz w:val="32"/>
          <w:szCs w:val="32"/>
          <w:shd w:val="clear" w:color="auto" w:fill="FFFFFF"/>
        </w:rPr>
        <w:t>1.报名时间：</w:t>
      </w:r>
      <w:r>
        <w:rPr>
          <w:rFonts w:hint="eastAsia" w:ascii="Times New Roman" w:hAnsi="Times New Roman" w:eastAsia="方正仿宋_GBK" w:cs="方正仿宋_GBK"/>
          <w:sz w:val="32"/>
          <w:szCs w:val="32"/>
        </w:rPr>
        <w:t>即日起至5月20日。</w:t>
      </w:r>
    </w:p>
    <w:p>
      <w:pPr>
        <w:adjustRightInd w:val="0"/>
        <w:snapToGrid w:val="0"/>
        <w:spacing w:line="560" w:lineRule="exact"/>
        <w:ind w:firstLine="640" w:firstLineChars="200"/>
        <w:jc w:val="left"/>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2.报名条件：各高校全日制在校研究生及本科学生均可自愿报名参赛，无需缴纳参赛费。学生可以个人或团队组队参加竞赛，每队人数不超过3人（须属于同一所学校）。组织方对参赛选手的年级和专业不做具体限制，均可报名参加金融建模大赛。</w:t>
      </w:r>
    </w:p>
    <w:p>
      <w:pPr>
        <w:pStyle w:val="2"/>
        <w:adjustRightInd w:val="0"/>
        <w:snapToGrid w:val="0"/>
        <w:spacing w:before="0" w:beforeAutospacing="0" w:after="0" w:afterAutospacing="0" w:line="560" w:lineRule="exact"/>
        <w:ind w:firstLine="640" w:firstLineChars="200"/>
        <w:rPr>
          <w:rFonts w:ascii="Times New Roman" w:hAnsi="Times New Roman" w:eastAsia="方正仿宋_GBK" w:cs="仿宋_GB2312"/>
          <w:b w:val="0"/>
          <w:bCs w:val="0"/>
          <w:kern w:val="2"/>
          <w:sz w:val="32"/>
          <w:szCs w:val="32"/>
          <w:shd w:val="clear" w:color="auto" w:fill="FFFFFF"/>
        </w:rPr>
      </w:pPr>
      <w:bookmarkStart w:id="3" w:name="_Toc416261335"/>
      <w:r>
        <w:rPr>
          <w:rFonts w:hint="eastAsia" w:ascii="Times New Roman" w:hAnsi="Times New Roman" w:eastAsia="方正仿宋_GBK" w:cs="仿宋_GB2312"/>
          <w:b w:val="0"/>
          <w:bCs w:val="0"/>
          <w:kern w:val="2"/>
          <w:sz w:val="32"/>
          <w:szCs w:val="32"/>
          <w:shd w:val="clear" w:color="auto" w:fill="FFFFFF"/>
        </w:rPr>
        <w:t>3.报名方式：网站报名，可登陆广东金融学院官网链接或</w:t>
      </w:r>
      <w:r>
        <w:fldChar w:fldCharType="begin"/>
      </w:r>
      <w:r>
        <w:instrText xml:space="preserve"> HYPERLINK "http://jrjm.eduapp.cc/html/index" </w:instrText>
      </w:r>
      <w:r>
        <w:fldChar w:fldCharType="separate"/>
      </w:r>
      <w:r>
        <w:rPr>
          <w:rStyle w:val="18"/>
          <w:rFonts w:ascii="Times New Roman" w:hAnsi="Times New Roman" w:eastAsia="方正仿宋_GBK" w:cs="仿宋_GB2312"/>
          <w:b w:val="0"/>
          <w:bCs w:val="0"/>
          <w:kern w:val="2"/>
          <w:sz w:val="32"/>
          <w:szCs w:val="32"/>
          <w:shd w:val="clear" w:color="auto" w:fill="FFFFFF"/>
        </w:rPr>
        <w:t>http://jrjm.eduapp.cc/html/index</w:t>
      </w:r>
      <w:r>
        <w:rPr>
          <w:rStyle w:val="18"/>
          <w:rFonts w:ascii="Times New Roman" w:hAnsi="Times New Roman" w:eastAsia="方正仿宋_GBK" w:cs="仿宋_GB2312"/>
          <w:b w:val="0"/>
          <w:bCs w:val="0"/>
          <w:kern w:val="2"/>
          <w:sz w:val="32"/>
          <w:szCs w:val="32"/>
          <w:shd w:val="clear" w:color="auto" w:fill="FFFFFF"/>
        </w:rPr>
        <w:fldChar w:fldCharType="end"/>
      </w:r>
    </w:p>
    <w:p>
      <w:pPr>
        <w:pStyle w:val="2"/>
        <w:numPr>
          <w:ilvl w:val="0"/>
          <w:numId w:val="1"/>
        </w:numPr>
        <w:adjustRightInd w:val="0"/>
        <w:snapToGrid w:val="0"/>
        <w:spacing w:before="0" w:beforeAutospacing="0" w:after="0" w:afterAutospacing="0" w:line="560" w:lineRule="exact"/>
        <w:ind w:firstLine="640" w:firstLineChars="200"/>
        <w:rPr>
          <w:rFonts w:ascii="Times New Roman" w:hAnsi="Times New Roman" w:eastAsia="方正黑体_GBK" w:cs="黑体"/>
          <w:b w:val="0"/>
          <w:sz w:val="32"/>
          <w:szCs w:val="32"/>
        </w:rPr>
      </w:pPr>
      <w:r>
        <w:rPr>
          <w:rFonts w:hint="eastAsia" w:ascii="Times New Roman" w:hAnsi="Times New Roman" w:eastAsia="方正黑体_GBK" w:cs="黑体"/>
          <w:b w:val="0"/>
          <w:sz w:val="32"/>
          <w:szCs w:val="32"/>
        </w:rPr>
        <w:t>比赛流程</w:t>
      </w:r>
    </w:p>
    <w:p>
      <w:pPr>
        <w:widowControl/>
        <w:shd w:val="clear" w:color="auto" w:fill="FFFFFF"/>
        <w:adjustRightInd w:val="0"/>
        <w:snapToGrid w:val="0"/>
        <w:spacing w:line="560" w:lineRule="exact"/>
        <w:ind w:firstLine="640" w:firstLineChars="200"/>
        <w:jc w:val="left"/>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1.报名及参赛：大赛报名与比赛同步进行，参赛者需在线填写报名表，通过大赛官网了解相关信息如赛题、章程及规则等。为方便学生参赛，报名期间将举办“赛前讲座进校园”活动，届时请留意大赛官网发布的有关信息。不能参加现场报告会的同学，可在网站下载赛前专题报告会视频文件。</w:t>
      </w:r>
    </w:p>
    <w:p>
      <w:pPr>
        <w:adjustRightInd w:val="0"/>
        <w:snapToGrid w:val="0"/>
        <w:spacing w:line="560" w:lineRule="exact"/>
        <w:ind w:firstLine="640" w:firstLineChars="200"/>
        <w:rPr>
          <w:rFonts w:hint="eastAsia"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2.作品提交</w:t>
      </w:r>
      <w:r>
        <w:rPr>
          <w:rFonts w:hint="eastAsia" w:ascii="Times New Roman" w:hAnsi="Times New Roman" w:eastAsia="方正仿宋_GBK" w:cs="仿宋_GB2312"/>
          <w:color w:val="000000"/>
          <w:sz w:val="32"/>
          <w:szCs w:val="32"/>
        </w:rPr>
        <w:t>：参赛者通过网上方式提交作品，</w:t>
      </w:r>
      <w:r>
        <w:rPr>
          <w:rFonts w:hint="eastAsia" w:ascii="Times New Roman" w:hAnsi="Times New Roman" w:eastAsia="方正仿宋_GBK" w:cs="仿宋_GB2312"/>
          <w:sz w:val="32"/>
          <w:szCs w:val="32"/>
          <w:shd w:val="clear" w:color="auto" w:fill="FFFFFF"/>
        </w:rPr>
        <w:t>须在规定截止时间内2018年6月25日，通过大赛官网上传赛题所要求的参赛作品，详细要求请登录大赛官网。</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3.组委会将组织专家组成评委会，采取匿名评阅的方式进行评阅，2018年6月30日在官网上公布复赛名单，参加复赛选手需准备论文及PPT参加答辩。</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4.组委会将于暑假期间组织现场答辩，答辩时间是2018年8月26日，答辩当天公布获奖结果，具体</w:t>
      </w:r>
      <w:r>
        <w:rPr>
          <w:rFonts w:ascii="Times New Roman" w:hAnsi="Times New Roman" w:eastAsia="方正仿宋_GBK" w:cs="仿宋_GB2312"/>
          <w:sz w:val="32"/>
          <w:szCs w:val="32"/>
          <w:shd w:val="clear" w:color="auto" w:fill="FFFFFF"/>
        </w:rPr>
        <w:t>事宜以大赛</w:t>
      </w:r>
      <w:r>
        <w:rPr>
          <w:rFonts w:hint="eastAsia" w:ascii="Times New Roman" w:hAnsi="Times New Roman" w:eastAsia="方正仿宋_GBK" w:cs="仿宋_GB2312"/>
          <w:sz w:val="32"/>
          <w:szCs w:val="32"/>
          <w:shd w:val="clear" w:color="auto" w:fill="FFFFFF"/>
        </w:rPr>
        <w:t>官</w:t>
      </w:r>
      <w:r>
        <w:rPr>
          <w:rFonts w:ascii="Times New Roman" w:hAnsi="Times New Roman" w:eastAsia="方正仿宋_GBK" w:cs="仿宋_GB2312"/>
          <w:sz w:val="32"/>
          <w:szCs w:val="32"/>
          <w:shd w:val="clear" w:color="auto" w:fill="FFFFFF"/>
        </w:rPr>
        <w:t>网发布为准</w:t>
      </w:r>
      <w:r>
        <w:rPr>
          <w:rFonts w:hint="eastAsia" w:ascii="Times New Roman" w:hAnsi="Times New Roman" w:eastAsia="方正仿宋_GBK" w:cs="仿宋_GB2312"/>
          <w:sz w:val="32"/>
          <w:szCs w:val="32"/>
          <w:shd w:val="clear" w:color="auto" w:fill="FFFFFF"/>
        </w:rPr>
        <w:t>。</w:t>
      </w:r>
    </w:p>
    <w:p>
      <w:pPr>
        <w:pStyle w:val="2"/>
        <w:numPr>
          <w:ilvl w:val="0"/>
          <w:numId w:val="1"/>
        </w:numPr>
        <w:adjustRightInd w:val="0"/>
        <w:snapToGrid w:val="0"/>
        <w:spacing w:before="0" w:beforeAutospacing="0" w:after="0" w:afterAutospacing="0" w:line="560" w:lineRule="exact"/>
        <w:ind w:firstLine="640" w:firstLineChars="200"/>
        <w:rPr>
          <w:rFonts w:ascii="Times New Roman" w:hAnsi="Times New Roman" w:eastAsia="方正黑体_GBK" w:cs="黑体"/>
          <w:b w:val="0"/>
          <w:sz w:val="32"/>
          <w:szCs w:val="32"/>
        </w:rPr>
      </w:pPr>
      <w:r>
        <w:rPr>
          <w:rFonts w:hint="eastAsia" w:ascii="Times New Roman" w:hAnsi="Times New Roman" w:eastAsia="方正黑体_GBK" w:cs="黑体"/>
          <w:b w:val="0"/>
          <w:sz w:val="32"/>
          <w:szCs w:val="32"/>
        </w:rPr>
        <w:t>注意事项</w:t>
      </w:r>
      <w:bookmarkEnd w:id="3"/>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1.所有参赛选手在参赛前应认真阅读和理解《广东省高校金融建模大赛章程》，详见大赛官方网站，严格按照大赛章程参赛。对违反竞赛规则的参赛个人和队伍，一经发现，立即取消参赛资格，成绩无效。</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2.本次竞赛免费报名参赛，采取网上报名的方式，请参赛选手通过大赛唯一官方网站填写报名表，如实填写真实的姓名、院校、身份证号、通信地址及其他注册表格所要求的资料，组委会保证学生个人信息资料仅用于竞赛有关工作，不会公开和泄露。</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3.赛题将于大赛报名期间同步公布。详细内容登录官网查询。</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ascii="Times New Roman" w:hAnsi="Times New Roman" w:eastAsia="方正仿宋_GBK" w:cs="仿宋_GB2312"/>
          <w:sz w:val="32"/>
          <w:szCs w:val="32"/>
          <w:shd w:val="clear" w:color="auto" w:fill="FFFFFF"/>
        </w:rPr>
        <w:t>4</w:t>
      </w:r>
      <w:r>
        <w:rPr>
          <w:rFonts w:hint="eastAsia" w:ascii="Times New Roman" w:hAnsi="Times New Roman" w:eastAsia="方正仿宋_GBK" w:cs="仿宋_GB2312"/>
          <w:sz w:val="32"/>
          <w:szCs w:val="32"/>
          <w:shd w:val="clear" w:color="auto" w:fill="FFFFFF"/>
        </w:rPr>
        <w:t>.大赛所有信息均以大赛官网发布为准。</w:t>
      </w:r>
    </w:p>
    <w:p>
      <w:pPr>
        <w:pStyle w:val="2"/>
        <w:numPr>
          <w:ilvl w:val="0"/>
          <w:numId w:val="1"/>
        </w:numPr>
        <w:adjustRightInd w:val="0"/>
        <w:snapToGrid w:val="0"/>
        <w:spacing w:before="0" w:beforeAutospacing="0" w:after="0" w:afterAutospacing="0" w:line="560" w:lineRule="exact"/>
        <w:ind w:firstLine="640" w:firstLineChars="200"/>
        <w:rPr>
          <w:rFonts w:ascii="Times New Roman" w:hAnsi="Times New Roman" w:eastAsia="方正黑体_GBK" w:cs="黑体"/>
          <w:b w:val="0"/>
          <w:sz w:val="32"/>
          <w:szCs w:val="32"/>
        </w:rPr>
      </w:pPr>
      <w:bookmarkStart w:id="4" w:name="_Toc372807643"/>
      <w:bookmarkStart w:id="5" w:name="_Toc416261336"/>
      <w:r>
        <w:rPr>
          <w:rFonts w:hint="eastAsia" w:ascii="Times New Roman" w:hAnsi="Times New Roman" w:eastAsia="方正黑体_GBK" w:cs="黑体"/>
          <w:b w:val="0"/>
          <w:sz w:val="32"/>
          <w:szCs w:val="32"/>
        </w:rPr>
        <w:t>奖项设置</w:t>
      </w:r>
      <w:bookmarkEnd w:id="4"/>
      <w:bookmarkEnd w:id="5"/>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大赛设一等奖（奖金1000</w:t>
      </w:r>
      <w:r>
        <w:rPr>
          <w:rFonts w:ascii="Times New Roman" w:hAnsi="Times New Roman" w:eastAsia="方正仿宋_GBK" w:cs="仿宋_GB2312"/>
          <w:sz w:val="32"/>
          <w:szCs w:val="32"/>
          <w:shd w:val="clear" w:color="auto" w:fill="FFFFFF"/>
        </w:rPr>
        <w:t>0</w:t>
      </w:r>
      <w:r>
        <w:rPr>
          <w:rFonts w:hint="eastAsia" w:ascii="Times New Roman" w:hAnsi="Times New Roman" w:eastAsia="方正仿宋_GBK" w:cs="仿宋_GB2312"/>
          <w:sz w:val="32"/>
          <w:szCs w:val="32"/>
          <w:shd w:val="clear" w:color="auto" w:fill="FFFFFF"/>
        </w:rPr>
        <w:t>元）、二等奖（奖金5000元）、三等奖（奖金2000元）、优秀指导老师（二等奖及以上设）等奖项，获奖选手获主办单位颁发证书。</w:t>
      </w:r>
    </w:p>
    <w:p>
      <w:pPr>
        <w:pStyle w:val="2"/>
        <w:numPr>
          <w:ilvl w:val="0"/>
          <w:numId w:val="1"/>
        </w:numPr>
        <w:adjustRightInd w:val="0"/>
        <w:snapToGrid w:val="0"/>
        <w:spacing w:before="0" w:beforeAutospacing="0" w:after="0" w:afterAutospacing="0" w:line="560" w:lineRule="exact"/>
        <w:ind w:firstLine="640" w:firstLineChars="200"/>
        <w:rPr>
          <w:rFonts w:ascii="Times New Roman" w:hAnsi="Times New Roman" w:eastAsia="方正黑体_GBK" w:cs="黑体"/>
          <w:b w:val="0"/>
          <w:sz w:val="32"/>
          <w:szCs w:val="32"/>
        </w:rPr>
      </w:pPr>
      <w:r>
        <w:rPr>
          <w:rFonts w:hint="eastAsia" w:ascii="Times New Roman" w:hAnsi="Times New Roman" w:eastAsia="方正黑体_GBK" w:cs="黑体"/>
          <w:b w:val="0"/>
          <w:sz w:val="32"/>
          <w:szCs w:val="32"/>
        </w:rPr>
        <w:t>联系方式</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ascii="Times New Roman" w:hAnsi="Times New Roman" w:eastAsia="方正仿宋_GBK" w:cs="仿宋_GB2312"/>
          <w:sz w:val="32"/>
          <w:szCs w:val="32"/>
          <w:shd w:val="clear" w:color="auto" w:fill="FFFFFF"/>
        </w:rPr>
        <w:t>广东金融学院</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ascii="Times New Roman" w:hAnsi="Times New Roman" w:eastAsia="方正仿宋_GBK" w:cs="仿宋_GB2312"/>
          <w:sz w:val="32"/>
          <w:szCs w:val="32"/>
          <w:shd w:val="clear" w:color="auto" w:fill="FFFFFF"/>
        </w:rPr>
        <w:t>联</w:t>
      </w:r>
      <w:r>
        <w:rPr>
          <w:rFonts w:hint="eastAsia" w:ascii="Times New Roman" w:hAnsi="Times New Roman" w:eastAsia="方正仿宋_GBK" w:cs="仿宋_GB2312"/>
          <w:sz w:val="32"/>
          <w:szCs w:val="32"/>
          <w:shd w:val="clear" w:color="auto" w:fill="FFFFFF"/>
        </w:rPr>
        <w:t xml:space="preserve"> </w:t>
      </w:r>
      <w:r>
        <w:rPr>
          <w:rFonts w:ascii="Times New Roman" w:hAnsi="Times New Roman" w:eastAsia="方正仿宋_GBK" w:cs="仿宋_GB2312"/>
          <w:sz w:val="32"/>
          <w:szCs w:val="32"/>
          <w:shd w:val="clear" w:color="auto" w:fill="FFFFFF"/>
        </w:rPr>
        <w:t>系</w:t>
      </w:r>
      <w:r>
        <w:rPr>
          <w:rFonts w:hint="eastAsia" w:ascii="Times New Roman" w:hAnsi="Times New Roman" w:eastAsia="方正仿宋_GBK" w:cs="仿宋_GB2312"/>
          <w:sz w:val="32"/>
          <w:szCs w:val="32"/>
          <w:shd w:val="clear" w:color="auto" w:fill="FFFFFF"/>
        </w:rPr>
        <w:t xml:space="preserve"> </w:t>
      </w:r>
      <w:r>
        <w:rPr>
          <w:rFonts w:ascii="Times New Roman" w:hAnsi="Times New Roman" w:eastAsia="方正仿宋_GBK" w:cs="仿宋_GB2312"/>
          <w:sz w:val="32"/>
          <w:szCs w:val="32"/>
          <w:shd w:val="clear" w:color="auto" w:fill="FFFFFF"/>
        </w:rPr>
        <w:t>人：郑仁明</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联系电话：020-37215061</w:t>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 xml:space="preserve">邮 </w:t>
      </w:r>
      <w:r>
        <w:rPr>
          <w:rFonts w:ascii="Times New Roman" w:hAnsi="Times New Roman" w:eastAsia="方正仿宋_GBK" w:cs="仿宋_GB2312"/>
          <w:sz w:val="32"/>
          <w:szCs w:val="32"/>
          <w:shd w:val="clear" w:color="auto" w:fill="FFFFFF"/>
        </w:rPr>
        <w:t xml:space="preserve">   </w:t>
      </w:r>
      <w:r>
        <w:rPr>
          <w:rFonts w:hint="eastAsia" w:ascii="Times New Roman" w:hAnsi="Times New Roman" w:eastAsia="方正仿宋_GBK" w:cs="仿宋_GB2312"/>
          <w:sz w:val="32"/>
          <w:szCs w:val="32"/>
          <w:shd w:val="clear" w:color="auto" w:fill="FFFFFF"/>
        </w:rPr>
        <w:t>箱：190545321@qq.com</w:t>
      </w:r>
    </w:p>
    <w:p>
      <w:pPr>
        <w:adjustRightInd w:val="0"/>
        <w:snapToGrid w:val="0"/>
        <w:spacing w:line="560" w:lineRule="exact"/>
        <w:ind w:firstLine="640" w:firstLineChars="200"/>
        <w:rPr>
          <w:rStyle w:val="18"/>
          <w:rFonts w:hint="eastAsia"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大赛官网：</w:t>
      </w:r>
      <w:r>
        <w:fldChar w:fldCharType="begin"/>
      </w:r>
      <w:r>
        <w:instrText xml:space="preserve"> HYPERLINK "http://jrjm.eduapp.cc/html/index" </w:instrText>
      </w:r>
      <w:r>
        <w:fldChar w:fldCharType="separate"/>
      </w:r>
      <w:r>
        <w:rPr>
          <w:rStyle w:val="18"/>
          <w:rFonts w:ascii="Times New Roman" w:hAnsi="Times New Roman" w:eastAsia="方正仿宋_GBK" w:cs="仿宋_GB2312"/>
          <w:sz w:val="32"/>
          <w:szCs w:val="32"/>
          <w:shd w:val="clear" w:color="auto" w:fill="FFFFFF"/>
        </w:rPr>
        <w:t>http://jrjm.eduapp.cc/html/index</w:t>
      </w:r>
      <w:r>
        <w:rPr>
          <w:rStyle w:val="18"/>
          <w:rFonts w:ascii="Times New Roman" w:hAnsi="Times New Roman" w:eastAsia="方正仿宋_GBK" w:cs="仿宋_GB2312"/>
          <w:sz w:val="32"/>
          <w:szCs w:val="32"/>
          <w:shd w:val="clear" w:color="auto" w:fill="FFFFFF"/>
        </w:rPr>
        <w:fldChar w:fldCharType="end"/>
      </w:r>
    </w:p>
    <w:p>
      <w:pPr>
        <w:adjustRightInd w:val="0"/>
        <w:snapToGrid w:val="0"/>
        <w:spacing w:line="560" w:lineRule="exact"/>
        <w:ind w:firstLine="640" w:firstLineChars="200"/>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参赛者若有疑问，可扫描二维码登录“竞赛平台QQ群”（群号码：693298558）留言。</w:t>
      </w:r>
    </w:p>
    <w:p>
      <w:pPr>
        <w:widowControl/>
        <w:adjustRightInd w:val="0"/>
        <w:snapToGrid w:val="0"/>
        <w:spacing w:line="560" w:lineRule="exact"/>
        <w:ind w:firstLine="640" w:firstLineChars="200"/>
        <w:rPr>
          <w:rFonts w:ascii="Times New Roman" w:hAnsi="Times New Roman" w:eastAsia="方正仿宋_GBK" w:cs="方正仿宋_GBK"/>
          <w:color w:val="000000"/>
          <w:kern w:val="0"/>
          <w:sz w:val="32"/>
          <w:szCs w:val="32"/>
        </w:rPr>
      </w:pPr>
      <w:r>
        <w:rPr>
          <w:rFonts w:hint="eastAsia" w:ascii="Times New Roman" w:hAnsi="Times New Roman" w:eastAsia="方正仿宋_GBK" w:cs="方正仿宋_GBK"/>
          <w:color w:val="000000"/>
          <w:kern w:val="0"/>
          <w:sz w:val="32"/>
          <w:szCs w:val="32"/>
        </w:rPr>
        <w:t>未尽事宜由大赛组委会办公室负责解释。</w:t>
      </w:r>
    </w:p>
    <w:p>
      <w:pPr>
        <w:pStyle w:val="2"/>
        <w:adjustRightInd w:val="0"/>
        <w:snapToGrid w:val="0"/>
        <w:spacing w:before="0" w:beforeAutospacing="0" w:after="0" w:afterAutospacing="0" w:line="560" w:lineRule="exact"/>
        <w:ind w:firstLine="640" w:firstLineChars="200"/>
        <w:rPr>
          <w:rFonts w:ascii="Times New Roman" w:hAnsi="Times New Roman" w:eastAsia="仿宋_GB2312" w:cs="仿宋_GB2312"/>
          <w:b w:val="0"/>
          <w:bCs w:val="0"/>
          <w:kern w:val="2"/>
          <w:sz w:val="32"/>
          <w:szCs w:val="32"/>
          <w:shd w:val="clear" w:color="auto" w:fill="FFFFFF"/>
        </w:rPr>
      </w:pPr>
    </w:p>
    <w:tbl>
      <w:tblPr>
        <w:tblStyle w:val="21"/>
        <w:tblW w:w="87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63"/>
        <w:gridCol w:w="4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63" w:type="dxa"/>
            <w:vAlign w:val="center"/>
          </w:tcPr>
          <w:p>
            <w:pPr>
              <w:autoSpaceDN w:val="0"/>
              <w:adjustRightInd w:val="0"/>
              <w:snapToGrid w:val="0"/>
              <w:spacing w:line="560" w:lineRule="exact"/>
              <w:jc w:val="center"/>
              <w:rPr>
                <w:rFonts w:ascii="方正仿宋_GBK" w:hAnsi="仿宋_GB2312" w:eastAsia="方正仿宋_GBK" w:cs="仿宋_GB2312"/>
                <w:color w:val="000000"/>
                <w:sz w:val="32"/>
                <w:szCs w:val="32"/>
              </w:rPr>
            </w:pPr>
            <w:r>
              <w:rPr>
                <w:rFonts w:ascii="仿宋_GB2312" w:hAnsi="仿宋_GB2312" w:eastAsia="仿宋_GB2312" w:cs="仿宋_GB2312"/>
                <w:sz w:val="32"/>
                <w:szCs w:val="32"/>
                <w:shd w:val="clear" w:color="auto" w:fill="FFFFFF"/>
              </w:rPr>
              <w:drawing>
                <wp:anchor distT="0" distB="0" distL="114300" distR="114300" simplePos="0" relativeHeight="251659264" behindDoc="1" locked="0" layoutInCell="1" allowOverlap="1">
                  <wp:simplePos x="0" y="0"/>
                  <wp:positionH relativeFrom="column">
                    <wp:posOffset>413385</wp:posOffset>
                  </wp:positionH>
                  <wp:positionV relativeFrom="paragraph">
                    <wp:posOffset>0</wp:posOffset>
                  </wp:positionV>
                  <wp:extent cx="1813560" cy="1813560"/>
                  <wp:effectExtent l="0" t="0" r="0" b="0"/>
                  <wp:wrapTight wrapText="bothSides">
                    <wp:wrapPolygon>
                      <wp:start x="0" y="0"/>
                      <wp:lineTo x="0" y="21328"/>
                      <wp:lineTo x="21328" y="21328"/>
                      <wp:lineTo x="21328" y="0"/>
                      <wp:lineTo x="0" y="0"/>
                    </wp:wrapPolygon>
                  </wp:wrapTight>
                  <wp:docPr id="1" name="图片 1" descr="学联微信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联微信二维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13560" cy="1813560"/>
                          </a:xfrm>
                          <a:prstGeom prst="rect">
                            <a:avLst/>
                          </a:prstGeom>
                          <a:noFill/>
                          <a:ln w="9525">
                            <a:noFill/>
                            <a:miter lim="800000"/>
                            <a:headEnd/>
                            <a:tailEnd/>
                          </a:ln>
                          <a:effectLst/>
                        </pic:spPr>
                      </pic:pic>
                    </a:graphicData>
                  </a:graphic>
                </wp:anchor>
              </w:drawing>
            </w:r>
          </w:p>
        </w:tc>
        <w:tc>
          <w:tcPr>
            <w:tcW w:w="4363" w:type="dxa"/>
            <w:vAlign w:val="center"/>
          </w:tcPr>
          <w:p>
            <w:pPr>
              <w:autoSpaceDN w:val="0"/>
              <w:adjustRightInd w:val="0"/>
              <w:snapToGrid w:val="0"/>
              <w:spacing w:line="560" w:lineRule="exact"/>
              <w:jc w:val="center"/>
              <w:rPr>
                <w:rFonts w:ascii="方正仿宋_GBK" w:hAnsi="仿宋_GB2312" w:eastAsia="方正仿宋_GBK" w:cs="仿宋_GB2312"/>
                <w:color w:val="000000"/>
                <w:sz w:val="32"/>
                <w:szCs w:val="32"/>
              </w:rPr>
            </w:pPr>
            <w:r>
              <w:rPr>
                <w:rFonts w:ascii="仿宋_GB2312" w:hAnsi="仿宋_GB2312" w:eastAsia="仿宋_GB2312" w:cs="仿宋_GB2312"/>
                <w:sz w:val="32"/>
                <w:szCs w:val="32"/>
                <w:shd w:val="clear" w:color="auto" w:fill="FFFFFF"/>
              </w:rPr>
              <w:drawing>
                <wp:anchor distT="0" distB="0" distL="114300" distR="114300" simplePos="0" relativeHeight="251661312" behindDoc="1" locked="0" layoutInCell="1" allowOverlap="1">
                  <wp:simplePos x="0" y="0"/>
                  <wp:positionH relativeFrom="column">
                    <wp:posOffset>406400</wp:posOffset>
                  </wp:positionH>
                  <wp:positionV relativeFrom="paragraph">
                    <wp:posOffset>2540</wp:posOffset>
                  </wp:positionV>
                  <wp:extent cx="1805940" cy="1799590"/>
                  <wp:effectExtent l="0" t="0" r="0" b="0"/>
                  <wp:wrapTight wrapText="bothSides">
                    <wp:wrapPolygon>
                      <wp:start x="0" y="0"/>
                      <wp:lineTo x="0" y="21265"/>
                      <wp:lineTo x="21418" y="21265"/>
                      <wp:lineTo x="21418"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805940" cy="1799590"/>
                          </a:xfrm>
                          <a:prstGeom prst="rect">
                            <a:avLst/>
                          </a:prstGeom>
                          <a:noFill/>
                          <a:ln w="9525">
                            <a:noFill/>
                            <a:miter lim="800000"/>
                            <a:headEnd/>
                            <a:tailEnd/>
                          </a:ln>
                          <a:effectLst/>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363" w:type="dxa"/>
            <w:vAlign w:val="center"/>
          </w:tcPr>
          <w:p>
            <w:pPr>
              <w:autoSpaceDN w:val="0"/>
              <w:adjustRightInd w:val="0"/>
              <w:snapToGrid w:val="0"/>
              <w:spacing w:line="560" w:lineRule="exact"/>
              <w:jc w:val="center"/>
              <w:rPr>
                <w:rFonts w:ascii="方正仿宋_GBK" w:hAnsi="仿宋_GB2312" w:eastAsia="方正仿宋_GBK" w:cs="仿宋_GB2312"/>
                <w:color w:val="000000"/>
                <w:sz w:val="32"/>
                <w:szCs w:val="32"/>
              </w:rPr>
            </w:pPr>
            <w:r>
              <w:rPr>
                <w:rFonts w:hint="eastAsia" w:ascii="方正仿宋_GBK" w:hAnsi="仿宋_GB2312" w:eastAsia="方正仿宋_GBK" w:cs="仿宋_GB2312"/>
                <w:color w:val="000000"/>
                <w:sz w:val="32"/>
                <w:szCs w:val="32"/>
              </w:rPr>
              <w:t>广东学联微信</w:t>
            </w:r>
          </w:p>
        </w:tc>
        <w:tc>
          <w:tcPr>
            <w:tcW w:w="4363" w:type="dxa"/>
            <w:vAlign w:val="center"/>
          </w:tcPr>
          <w:p>
            <w:pPr>
              <w:autoSpaceDN w:val="0"/>
              <w:adjustRightInd w:val="0"/>
              <w:snapToGrid w:val="0"/>
              <w:spacing w:line="560" w:lineRule="exact"/>
              <w:jc w:val="center"/>
              <w:rPr>
                <w:rFonts w:ascii="方正仿宋_GBK" w:hAnsi="仿宋_GB2312" w:eastAsia="方正仿宋_GBK" w:cs="仿宋_GB2312"/>
                <w:color w:val="000000"/>
                <w:sz w:val="32"/>
                <w:szCs w:val="32"/>
              </w:rPr>
            </w:pPr>
            <w:r>
              <w:rPr>
                <w:rFonts w:hint="eastAsia" w:ascii="Times New Roman" w:hAnsi="Times New Roman" w:eastAsia="方正仿宋_GBK" w:cs="仿宋_GB2312"/>
                <w:sz w:val="32"/>
                <w:szCs w:val="32"/>
                <w:shd w:val="clear" w:color="auto" w:fill="FFFFFF"/>
              </w:rPr>
              <w:t>竞赛答疑平台</w:t>
            </w:r>
          </w:p>
        </w:tc>
      </w:tr>
    </w:tbl>
    <w:p>
      <w:pPr>
        <w:adjustRightInd w:val="0"/>
        <w:snapToGrid w:val="0"/>
        <w:spacing w:line="560" w:lineRule="exact"/>
        <w:rPr>
          <w:rFonts w:ascii="Times New Roman" w:hAnsi="Times New Roman" w:eastAsia="方正仿宋_GBK" w:cs="仿宋_GB2312"/>
          <w:sz w:val="32"/>
          <w:szCs w:val="32"/>
          <w:shd w:val="clear" w:color="auto" w:fill="FFFFFF"/>
        </w:rPr>
      </w:pPr>
    </w:p>
    <w:p>
      <w:pPr>
        <w:adjustRightInd w:val="0"/>
        <w:snapToGrid w:val="0"/>
        <w:spacing w:line="560" w:lineRule="exact"/>
        <w:rPr>
          <w:rFonts w:ascii="Times New Roman" w:hAnsi="Times New Roman" w:eastAsia="方正仿宋_GBK" w:cs="仿宋_GB2312"/>
          <w:sz w:val="32"/>
          <w:szCs w:val="32"/>
          <w:shd w:val="clear" w:color="auto" w:fill="FFFFFF"/>
        </w:rPr>
      </w:pPr>
    </w:p>
    <w:p>
      <w:pPr>
        <w:adjustRightInd w:val="0"/>
        <w:snapToGrid w:val="0"/>
        <w:spacing w:line="560" w:lineRule="exact"/>
        <w:ind w:firstLine="1920" w:firstLineChars="600"/>
        <w:jc w:val="right"/>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第十二届广东大中专学生科技学术节</w:t>
      </w:r>
    </w:p>
    <w:p>
      <w:pPr>
        <w:wordWrap w:val="0"/>
        <w:adjustRightInd w:val="0"/>
        <w:snapToGrid w:val="0"/>
        <w:spacing w:line="560" w:lineRule="exact"/>
        <w:ind w:firstLine="1920" w:firstLineChars="600"/>
        <w:jc w:val="right"/>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组委会办公室</w:t>
      </w:r>
      <w:r>
        <w:rPr>
          <w:rFonts w:ascii="Times New Roman" w:hAnsi="Times New Roman" w:eastAsia="方正仿宋_GBK" w:cs="仿宋_GB2312"/>
          <w:sz w:val="32"/>
          <w:szCs w:val="32"/>
          <w:shd w:val="clear" w:color="auto" w:fill="FFFFFF"/>
        </w:rPr>
        <w:t xml:space="preserve">        </w:t>
      </w:r>
    </w:p>
    <w:p>
      <w:pPr>
        <w:wordWrap w:val="0"/>
        <w:adjustRightInd w:val="0"/>
        <w:snapToGrid w:val="0"/>
        <w:spacing w:line="560" w:lineRule="exact"/>
        <w:ind w:firstLine="3840" w:firstLineChars="1200"/>
        <w:jc w:val="right"/>
        <w:rPr>
          <w:rFonts w:ascii="Times New Roman" w:hAnsi="Times New Roman" w:eastAsia="方正仿宋_GBK" w:cs="仿宋_GB2312"/>
          <w:sz w:val="32"/>
          <w:szCs w:val="32"/>
          <w:shd w:val="clear" w:color="auto" w:fill="FFFFFF"/>
        </w:rPr>
      </w:pPr>
      <w:r>
        <w:rPr>
          <w:rFonts w:hint="eastAsia" w:ascii="Times New Roman" w:hAnsi="Times New Roman" w:eastAsia="方正仿宋_GBK" w:cs="仿宋_GB2312"/>
          <w:sz w:val="32"/>
          <w:szCs w:val="32"/>
          <w:shd w:val="clear" w:color="auto" w:fill="FFFFFF"/>
        </w:rPr>
        <w:t>2018年4月15日</w:t>
      </w:r>
      <w:bookmarkEnd w:id="0"/>
      <w:r>
        <w:rPr>
          <w:rFonts w:ascii="Times New Roman" w:hAnsi="Times New Roman" w:eastAsia="方正仿宋_GBK" w:cs="仿宋_GB2312"/>
          <w:sz w:val="32"/>
          <w:szCs w:val="32"/>
          <w:shd w:val="clear" w:color="auto" w:fill="FFFFFF"/>
        </w:rPr>
        <w:t xml:space="preserve">      </w:t>
      </w:r>
    </w:p>
    <w:sectPr>
      <w:headerReference r:id="rId3" w:type="default"/>
      <w:footerReference r:id="rId4" w:type="default"/>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7945" cy="162560"/>
              <wp:effectExtent l="0" t="0" r="8255" b="8890"/>
              <wp:wrapNone/>
              <wp:docPr id="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7945" cy="16256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58240;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DgBNEA&#10;AAADAQAADwAAAAAAAAABACAAAAAiAAAAZHJzL2Rvd25yZXYueG1sUEsBAhQAFAAAAAgAh07iQDEo&#10;To3tAQAAswMAAA4AAAAAAAAAAQAgAAAAIAEAAGRycy9lMm9Eb2MueG1sUEsFBgAAAAAGAAYAWQEA&#10;AH8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73563"/>
    <w:multiLevelType w:val="singleLevel"/>
    <w:tmpl w:val="55273563"/>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55E"/>
    <w:rsid w:val="000320F2"/>
    <w:rsid w:val="00043842"/>
    <w:rsid w:val="000561D7"/>
    <w:rsid w:val="000629C5"/>
    <w:rsid w:val="000721AC"/>
    <w:rsid w:val="0007282F"/>
    <w:rsid w:val="00076087"/>
    <w:rsid w:val="00081D88"/>
    <w:rsid w:val="000A14C4"/>
    <w:rsid w:val="000A6780"/>
    <w:rsid w:val="000C0059"/>
    <w:rsid w:val="000D1E52"/>
    <w:rsid w:val="000D4066"/>
    <w:rsid w:val="000D72BB"/>
    <w:rsid w:val="00100958"/>
    <w:rsid w:val="00105968"/>
    <w:rsid w:val="00117F67"/>
    <w:rsid w:val="00163757"/>
    <w:rsid w:val="001755CC"/>
    <w:rsid w:val="001A018D"/>
    <w:rsid w:val="001B7256"/>
    <w:rsid w:val="001C037E"/>
    <w:rsid w:val="001C0854"/>
    <w:rsid w:val="001D0F17"/>
    <w:rsid w:val="001D2B60"/>
    <w:rsid w:val="001E2239"/>
    <w:rsid w:val="00205535"/>
    <w:rsid w:val="00206FBB"/>
    <w:rsid w:val="002113FA"/>
    <w:rsid w:val="0021705F"/>
    <w:rsid w:val="0022607B"/>
    <w:rsid w:val="00241E92"/>
    <w:rsid w:val="0024660D"/>
    <w:rsid w:val="00252DCD"/>
    <w:rsid w:val="002657B2"/>
    <w:rsid w:val="002670F9"/>
    <w:rsid w:val="0027509E"/>
    <w:rsid w:val="00287B78"/>
    <w:rsid w:val="002942E6"/>
    <w:rsid w:val="002A26A3"/>
    <w:rsid w:val="002A2BE9"/>
    <w:rsid w:val="002A3405"/>
    <w:rsid w:val="002A7440"/>
    <w:rsid w:val="002B1179"/>
    <w:rsid w:val="002C36B0"/>
    <w:rsid w:val="002D6DAB"/>
    <w:rsid w:val="002E57A2"/>
    <w:rsid w:val="002E6CF3"/>
    <w:rsid w:val="002F1BF0"/>
    <w:rsid w:val="002F37AC"/>
    <w:rsid w:val="00306D29"/>
    <w:rsid w:val="00311644"/>
    <w:rsid w:val="00316D67"/>
    <w:rsid w:val="00337575"/>
    <w:rsid w:val="0034043B"/>
    <w:rsid w:val="00352899"/>
    <w:rsid w:val="0036189E"/>
    <w:rsid w:val="00362919"/>
    <w:rsid w:val="00366636"/>
    <w:rsid w:val="00374759"/>
    <w:rsid w:val="003A4E2C"/>
    <w:rsid w:val="003B1A5A"/>
    <w:rsid w:val="003B37AB"/>
    <w:rsid w:val="003B6F54"/>
    <w:rsid w:val="003E4CF3"/>
    <w:rsid w:val="004002FC"/>
    <w:rsid w:val="004059A9"/>
    <w:rsid w:val="0042132B"/>
    <w:rsid w:val="00425D12"/>
    <w:rsid w:val="00426E5E"/>
    <w:rsid w:val="00431F43"/>
    <w:rsid w:val="00433FB1"/>
    <w:rsid w:val="0043457B"/>
    <w:rsid w:val="004351FA"/>
    <w:rsid w:val="0044742D"/>
    <w:rsid w:val="004474E2"/>
    <w:rsid w:val="00454F95"/>
    <w:rsid w:val="00467D79"/>
    <w:rsid w:val="00470687"/>
    <w:rsid w:val="00482F55"/>
    <w:rsid w:val="00492A5F"/>
    <w:rsid w:val="00496A17"/>
    <w:rsid w:val="004B28B9"/>
    <w:rsid w:val="004B4A59"/>
    <w:rsid w:val="004B6A45"/>
    <w:rsid w:val="004C5D51"/>
    <w:rsid w:val="004D5CB6"/>
    <w:rsid w:val="004F280F"/>
    <w:rsid w:val="00501DDF"/>
    <w:rsid w:val="005027BE"/>
    <w:rsid w:val="00502931"/>
    <w:rsid w:val="00502FB5"/>
    <w:rsid w:val="00503F47"/>
    <w:rsid w:val="00505094"/>
    <w:rsid w:val="00521DE0"/>
    <w:rsid w:val="00544811"/>
    <w:rsid w:val="00545226"/>
    <w:rsid w:val="005473DB"/>
    <w:rsid w:val="0056410C"/>
    <w:rsid w:val="005811D6"/>
    <w:rsid w:val="005908DA"/>
    <w:rsid w:val="00591D27"/>
    <w:rsid w:val="00597905"/>
    <w:rsid w:val="005A4F80"/>
    <w:rsid w:val="005A6DEC"/>
    <w:rsid w:val="005B10B3"/>
    <w:rsid w:val="005B1B70"/>
    <w:rsid w:val="005B7BE9"/>
    <w:rsid w:val="005D0442"/>
    <w:rsid w:val="005E168F"/>
    <w:rsid w:val="005E21FF"/>
    <w:rsid w:val="005E24FD"/>
    <w:rsid w:val="005E673F"/>
    <w:rsid w:val="00612250"/>
    <w:rsid w:val="00620A5C"/>
    <w:rsid w:val="00637514"/>
    <w:rsid w:val="00655B89"/>
    <w:rsid w:val="00662576"/>
    <w:rsid w:val="006636D5"/>
    <w:rsid w:val="00665F6F"/>
    <w:rsid w:val="00672FD9"/>
    <w:rsid w:val="00675021"/>
    <w:rsid w:val="00687F73"/>
    <w:rsid w:val="006949FA"/>
    <w:rsid w:val="006E46F3"/>
    <w:rsid w:val="006E66E2"/>
    <w:rsid w:val="006F4580"/>
    <w:rsid w:val="007033A7"/>
    <w:rsid w:val="0073066D"/>
    <w:rsid w:val="007328B9"/>
    <w:rsid w:val="00745BE4"/>
    <w:rsid w:val="0075616C"/>
    <w:rsid w:val="00772DED"/>
    <w:rsid w:val="007847D7"/>
    <w:rsid w:val="007A6FC6"/>
    <w:rsid w:val="007B1A50"/>
    <w:rsid w:val="007B336D"/>
    <w:rsid w:val="007E4657"/>
    <w:rsid w:val="00805843"/>
    <w:rsid w:val="00805B21"/>
    <w:rsid w:val="00814E51"/>
    <w:rsid w:val="0081603E"/>
    <w:rsid w:val="0083214A"/>
    <w:rsid w:val="00836603"/>
    <w:rsid w:val="008414E8"/>
    <w:rsid w:val="008547DA"/>
    <w:rsid w:val="00870429"/>
    <w:rsid w:val="00872A58"/>
    <w:rsid w:val="0087404B"/>
    <w:rsid w:val="008826AF"/>
    <w:rsid w:val="008846C6"/>
    <w:rsid w:val="008850C1"/>
    <w:rsid w:val="00896643"/>
    <w:rsid w:val="008A3126"/>
    <w:rsid w:val="008C27D8"/>
    <w:rsid w:val="008C33C7"/>
    <w:rsid w:val="008D5B5A"/>
    <w:rsid w:val="008E12AD"/>
    <w:rsid w:val="008E3373"/>
    <w:rsid w:val="008E4810"/>
    <w:rsid w:val="008F477D"/>
    <w:rsid w:val="00912AF0"/>
    <w:rsid w:val="00916CF2"/>
    <w:rsid w:val="0091755E"/>
    <w:rsid w:val="0092637C"/>
    <w:rsid w:val="0093354D"/>
    <w:rsid w:val="00944FBD"/>
    <w:rsid w:val="00954A51"/>
    <w:rsid w:val="00955D6B"/>
    <w:rsid w:val="00966EFF"/>
    <w:rsid w:val="009708E7"/>
    <w:rsid w:val="00985502"/>
    <w:rsid w:val="009930B3"/>
    <w:rsid w:val="009A0E93"/>
    <w:rsid w:val="009A3EE3"/>
    <w:rsid w:val="009A6761"/>
    <w:rsid w:val="009A7DAF"/>
    <w:rsid w:val="009B7DCC"/>
    <w:rsid w:val="009C5900"/>
    <w:rsid w:val="009D17EB"/>
    <w:rsid w:val="009D3CC7"/>
    <w:rsid w:val="009D57B9"/>
    <w:rsid w:val="009E6D71"/>
    <w:rsid w:val="009F1E32"/>
    <w:rsid w:val="00A01DC8"/>
    <w:rsid w:val="00A277CC"/>
    <w:rsid w:val="00A30B05"/>
    <w:rsid w:val="00A3106F"/>
    <w:rsid w:val="00A52E59"/>
    <w:rsid w:val="00A53C57"/>
    <w:rsid w:val="00A56786"/>
    <w:rsid w:val="00A62939"/>
    <w:rsid w:val="00A64EB6"/>
    <w:rsid w:val="00A676FD"/>
    <w:rsid w:val="00A7118D"/>
    <w:rsid w:val="00A83245"/>
    <w:rsid w:val="00A858EB"/>
    <w:rsid w:val="00A967C8"/>
    <w:rsid w:val="00AC272F"/>
    <w:rsid w:val="00AD7111"/>
    <w:rsid w:val="00AF0174"/>
    <w:rsid w:val="00B53839"/>
    <w:rsid w:val="00B54657"/>
    <w:rsid w:val="00B55310"/>
    <w:rsid w:val="00B57DC9"/>
    <w:rsid w:val="00B608A2"/>
    <w:rsid w:val="00B873BF"/>
    <w:rsid w:val="00BB4025"/>
    <w:rsid w:val="00BC1243"/>
    <w:rsid w:val="00BD062E"/>
    <w:rsid w:val="00BE7389"/>
    <w:rsid w:val="00BF3D97"/>
    <w:rsid w:val="00C02805"/>
    <w:rsid w:val="00C11519"/>
    <w:rsid w:val="00C124FB"/>
    <w:rsid w:val="00C35732"/>
    <w:rsid w:val="00C35A8F"/>
    <w:rsid w:val="00C37DF7"/>
    <w:rsid w:val="00C46A7A"/>
    <w:rsid w:val="00C51345"/>
    <w:rsid w:val="00C57493"/>
    <w:rsid w:val="00C62074"/>
    <w:rsid w:val="00C761FD"/>
    <w:rsid w:val="00C836B3"/>
    <w:rsid w:val="00C861EE"/>
    <w:rsid w:val="00CA4DDA"/>
    <w:rsid w:val="00CB3F64"/>
    <w:rsid w:val="00CC7C9B"/>
    <w:rsid w:val="00CD682E"/>
    <w:rsid w:val="00CD7C25"/>
    <w:rsid w:val="00CE0D01"/>
    <w:rsid w:val="00CE3981"/>
    <w:rsid w:val="00D110A2"/>
    <w:rsid w:val="00D14B4C"/>
    <w:rsid w:val="00D20A95"/>
    <w:rsid w:val="00D41B4A"/>
    <w:rsid w:val="00D479F4"/>
    <w:rsid w:val="00D52282"/>
    <w:rsid w:val="00D53DB8"/>
    <w:rsid w:val="00D55A7A"/>
    <w:rsid w:val="00D61A5C"/>
    <w:rsid w:val="00D8058D"/>
    <w:rsid w:val="00D851B1"/>
    <w:rsid w:val="00D869BE"/>
    <w:rsid w:val="00DA24D9"/>
    <w:rsid w:val="00DF0AFE"/>
    <w:rsid w:val="00DF31C8"/>
    <w:rsid w:val="00E00A45"/>
    <w:rsid w:val="00E00E04"/>
    <w:rsid w:val="00E22D5E"/>
    <w:rsid w:val="00E27CFF"/>
    <w:rsid w:val="00E56D53"/>
    <w:rsid w:val="00E71FD6"/>
    <w:rsid w:val="00E75538"/>
    <w:rsid w:val="00E83017"/>
    <w:rsid w:val="00E83F71"/>
    <w:rsid w:val="00E8597B"/>
    <w:rsid w:val="00E87DE0"/>
    <w:rsid w:val="00EA4EDF"/>
    <w:rsid w:val="00ED0EF6"/>
    <w:rsid w:val="00EE415A"/>
    <w:rsid w:val="00F023A4"/>
    <w:rsid w:val="00F05326"/>
    <w:rsid w:val="00F237AA"/>
    <w:rsid w:val="00F23E46"/>
    <w:rsid w:val="00F25D76"/>
    <w:rsid w:val="00F36098"/>
    <w:rsid w:val="00F41028"/>
    <w:rsid w:val="00F4281D"/>
    <w:rsid w:val="00F55D8A"/>
    <w:rsid w:val="00F72FF1"/>
    <w:rsid w:val="00F82BA5"/>
    <w:rsid w:val="00F85B85"/>
    <w:rsid w:val="00F90071"/>
    <w:rsid w:val="00FA5FD1"/>
    <w:rsid w:val="00FA7270"/>
    <w:rsid w:val="00FB19F3"/>
    <w:rsid w:val="00FD782A"/>
    <w:rsid w:val="00FE68A9"/>
    <w:rsid w:val="0A3A25DA"/>
    <w:rsid w:val="0C681CB3"/>
    <w:rsid w:val="12A747DB"/>
    <w:rsid w:val="21800B85"/>
    <w:rsid w:val="25240773"/>
    <w:rsid w:val="25493139"/>
    <w:rsid w:val="29CC65A4"/>
    <w:rsid w:val="2CD741A7"/>
    <w:rsid w:val="2E8F666E"/>
    <w:rsid w:val="354635F4"/>
    <w:rsid w:val="3B903A49"/>
    <w:rsid w:val="423F6753"/>
    <w:rsid w:val="4A4A04B3"/>
    <w:rsid w:val="4B6C3B6E"/>
    <w:rsid w:val="4C804791"/>
    <w:rsid w:val="62A706DD"/>
    <w:rsid w:val="739B2C36"/>
    <w:rsid w:val="74DB6E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4"/>
    <w:qFormat/>
    <w:uiPriority w:val="0"/>
    <w:pPr>
      <w:widowControl/>
      <w:spacing w:before="100" w:beforeAutospacing="1" w:after="100" w:afterAutospacing="1"/>
      <w:jc w:val="left"/>
      <w:outlineLvl w:val="0"/>
    </w:pPr>
    <w:rPr>
      <w:rFonts w:ascii="宋体" w:hAnsi="宋体" w:cs="宋体"/>
      <w:b/>
      <w:bCs/>
      <w:kern w:val="36"/>
      <w:sz w:val="24"/>
      <w:szCs w:val="24"/>
    </w:rPr>
  </w:style>
  <w:style w:type="paragraph" w:styleId="3">
    <w:name w:val="heading 2"/>
    <w:basedOn w:val="1"/>
    <w:next w:val="1"/>
    <w:link w:val="33"/>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character" w:default="1" w:styleId="15">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47"/>
    <w:semiHidden/>
    <w:unhideWhenUsed/>
    <w:uiPriority w:val="0"/>
    <w:rPr>
      <w:b/>
      <w:bCs/>
    </w:rPr>
  </w:style>
  <w:style w:type="paragraph" w:styleId="6">
    <w:name w:val="annotation text"/>
    <w:basedOn w:val="1"/>
    <w:link w:val="46"/>
    <w:qFormat/>
    <w:uiPriority w:val="0"/>
    <w:pPr>
      <w:jc w:val="left"/>
    </w:pPr>
  </w:style>
  <w:style w:type="paragraph" w:styleId="7">
    <w:name w:val="toc 3"/>
    <w:basedOn w:val="1"/>
    <w:next w:val="1"/>
    <w:qFormat/>
    <w:uiPriority w:val="0"/>
    <w:pPr>
      <w:widowControl/>
      <w:spacing w:after="100" w:line="276" w:lineRule="auto"/>
      <w:ind w:left="440"/>
      <w:jc w:val="left"/>
    </w:pPr>
    <w:rPr>
      <w:kern w:val="0"/>
      <w:sz w:val="22"/>
    </w:rPr>
  </w:style>
  <w:style w:type="paragraph" w:styleId="8">
    <w:name w:val="Balloon Text"/>
    <w:basedOn w:val="1"/>
    <w:link w:val="43"/>
    <w:unhideWhenUsed/>
    <w:qFormat/>
    <w:uiPriority w:val="99"/>
    <w:rPr>
      <w:sz w:val="18"/>
      <w:szCs w:val="18"/>
    </w:rPr>
  </w:style>
  <w:style w:type="paragraph" w:styleId="9">
    <w:name w:val="footer"/>
    <w:basedOn w:val="1"/>
    <w:link w:val="38"/>
    <w:qFormat/>
    <w:uiPriority w:val="0"/>
    <w:pPr>
      <w:tabs>
        <w:tab w:val="center" w:pos="4153"/>
        <w:tab w:val="right" w:pos="8306"/>
      </w:tabs>
      <w:snapToGrid w:val="0"/>
      <w:jc w:val="left"/>
    </w:pPr>
    <w:rPr>
      <w:sz w:val="18"/>
      <w:szCs w:val="18"/>
    </w:rPr>
  </w:style>
  <w:style w:type="paragraph" w:styleId="10">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widowControl/>
      <w:spacing w:after="100" w:line="276" w:lineRule="auto"/>
      <w:jc w:val="left"/>
    </w:pPr>
    <w:rPr>
      <w:kern w:val="0"/>
      <w:sz w:val="22"/>
    </w:rPr>
  </w:style>
  <w:style w:type="paragraph" w:styleId="12">
    <w:name w:val="toc 2"/>
    <w:basedOn w:val="1"/>
    <w:next w:val="1"/>
    <w:qFormat/>
    <w:uiPriority w:val="0"/>
    <w:pPr>
      <w:widowControl/>
      <w:spacing w:after="100" w:line="276" w:lineRule="auto"/>
      <w:ind w:left="220"/>
      <w:jc w:val="left"/>
    </w:pPr>
    <w:rPr>
      <w:kern w:val="0"/>
      <w:sz w:val="22"/>
    </w:rPr>
  </w:style>
  <w:style w:type="paragraph" w:styleId="13">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宋体"/>
      <w:kern w:val="0"/>
      <w:sz w:val="24"/>
      <w:szCs w:val="24"/>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6">
    <w:name w:val="Strong"/>
    <w:basedOn w:val="15"/>
    <w:qFormat/>
    <w:uiPriority w:val="0"/>
    <w:rPr>
      <w:b/>
      <w:bCs/>
    </w:rPr>
  </w:style>
  <w:style w:type="character" w:styleId="17">
    <w:name w:val="FollowedHyperlink"/>
    <w:basedOn w:val="15"/>
    <w:unhideWhenUsed/>
    <w:qFormat/>
    <w:uiPriority w:val="99"/>
    <w:rPr>
      <w:color w:val="800080"/>
      <w:u w:val="single"/>
    </w:rPr>
  </w:style>
  <w:style w:type="character" w:styleId="18">
    <w:name w:val="Hyperlink"/>
    <w:basedOn w:val="15"/>
    <w:qFormat/>
    <w:uiPriority w:val="99"/>
    <w:rPr>
      <w:color w:val="136EC2"/>
      <w:u w:val="single"/>
    </w:rPr>
  </w:style>
  <w:style w:type="character" w:styleId="19">
    <w:name w:val="annotation reference"/>
    <w:basedOn w:val="15"/>
    <w:semiHidden/>
    <w:unhideWhenUsed/>
    <w:qFormat/>
    <w:uiPriority w:val="0"/>
    <w:rPr>
      <w:sz w:val="21"/>
      <w:szCs w:val="21"/>
    </w:rPr>
  </w:style>
  <w:style w:type="table" w:styleId="21">
    <w:name w:val="Table Grid"/>
    <w:basedOn w:val="2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end1"/>
    <w:basedOn w:val="1"/>
    <w:qFormat/>
    <w:uiPriority w:val="0"/>
    <w:pPr>
      <w:widowControl/>
      <w:spacing w:before="100" w:beforeAutospacing="1" w:after="225"/>
      <w:jc w:val="center"/>
    </w:pPr>
    <w:rPr>
      <w:rFonts w:ascii="宋体" w:hAnsi="宋体" w:cs="宋体"/>
      <w:kern w:val="0"/>
      <w:sz w:val="24"/>
      <w:szCs w:val="24"/>
    </w:rPr>
  </w:style>
  <w:style w:type="paragraph" w:customStyle="1" w:styleId="23">
    <w:name w:val="列出段落1"/>
    <w:basedOn w:val="1"/>
    <w:qFormat/>
    <w:uiPriority w:val="34"/>
    <w:pPr>
      <w:ind w:firstLine="420" w:firstLineChars="200"/>
    </w:pPr>
  </w:style>
  <w:style w:type="paragraph" w:customStyle="1" w:styleId="24">
    <w:name w:val="批注框文本 Char Char"/>
    <w:basedOn w:val="1"/>
    <w:link w:val="41"/>
    <w:qFormat/>
    <w:uiPriority w:val="0"/>
    <w:rPr>
      <w:sz w:val="18"/>
      <w:szCs w:val="18"/>
    </w:rPr>
  </w:style>
  <w:style w:type="paragraph" w:customStyle="1" w:styleId="25">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6">
    <w:name w:val="TOC 标题1"/>
    <w:basedOn w:val="2"/>
    <w:next w:val="1"/>
    <w:qFormat/>
    <w:uiPriority w:val="0"/>
    <w:pPr>
      <w:keepNext/>
      <w:keepLines/>
      <w:spacing w:before="480" w:beforeAutospacing="0" w:after="0" w:afterAutospacing="0" w:line="276" w:lineRule="auto"/>
      <w:outlineLvl w:val="9"/>
    </w:pPr>
    <w:rPr>
      <w:rFonts w:ascii="Cambria" w:hAnsi="Cambria"/>
      <w:color w:val="365F90"/>
      <w:kern w:val="0"/>
      <w:sz w:val="28"/>
      <w:szCs w:val="28"/>
    </w:rPr>
  </w:style>
  <w:style w:type="paragraph" w:customStyle="1" w:styleId="27">
    <w:name w:val="纯文本1"/>
    <w:basedOn w:val="1"/>
    <w:link w:val="35"/>
    <w:qFormat/>
    <w:uiPriority w:val="0"/>
    <w:pPr>
      <w:adjustRightInd w:val="0"/>
      <w:spacing w:line="312" w:lineRule="atLeast"/>
      <w:textAlignment w:val="baseline"/>
    </w:pPr>
    <w:rPr>
      <w:rFonts w:ascii="宋体" w:hAnsi="Courier New"/>
      <w:kern w:val="0"/>
      <w:szCs w:val="20"/>
    </w:rPr>
  </w:style>
  <w:style w:type="paragraph" w:customStyle="1" w:styleId="28">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9">
    <w:name w:val="列出段落11"/>
    <w:basedOn w:val="1"/>
    <w:qFormat/>
    <w:uiPriority w:val="0"/>
    <w:pPr>
      <w:ind w:firstLine="420" w:firstLineChars="200"/>
    </w:pPr>
  </w:style>
  <w:style w:type="paragraph" w:customStyle="1" w:styleId="30">
    <w:name w:val="Default"/>
    <w:qFormat/>
    <w:uiPriority w:val="0"/>
    <w:pPr>
      <w:widowControl w:val="0"/>
      <w:autoSpaceDE w:val="0"/>
      <w:autoSpaceDN w:val="0"/>
      <w:adjustRightInd w:val="0"/>
    </w:pPr>
    <w:rPr>
      <w:rFonts w:ascii="微软雅黑" w:hAnsi="微软雅黑" w:eastAsia="宋体" w:cs="微软雅黑"/>
      <w:color w:val="000000"/>
      <w:sz w:val="24"/>
      <w:szCs w:val="24"/>
      <w:lang w:val="en-US" w:eastAsia="zh-CN" w:bidi="ar-SA"/>
    </w:rPr>
  </w:style>
  <w:style w:type="paragraph" w:customStyle="1" w:styleId="31">
    <w:name w:val="style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32">
    <w:name w:val="start1"/>
    <w:basedOn w:val="1"/>
    <w:qFormat/>
    <w:uiPriority w:val="0"/>
    <w:pPr>
      <w:widowControl/>
      <w:spacing w:before="100" w:beforeAutospacing="1" w:after="225"/>
      <w:jc w:val="left"/>
    </w:pPr>
    <w:rPr>
      <w:rFonts w:ascii="宋体" w:hAnsi="宋体" w:cs="宋体"/>
      <w:kern w:val="0"/>
      <w:sz w:val="24"/>
      <w:szCs w:val="24"/>
    </w:rPr>
  </w:style>
  <w:style w:type="character" w:customStyle="1" w:styleId="33">
    <w:name w:val="标题 2 Char"/>
    <w:basedOn w:val="15"/>
    <w:link w:val="3"/>
    <w:semiHidden/>
    <w:qFormat/>
    <w:uiPriority w:val="0"/>
    <w:rPr>
      <w:rFonts w:ascii="Cambria" w:hAnsi="Cambria" w:eastAsia="宋体"/>
      <w:b/>
      <w:bCs/>
      <w:sz w:val="32"/>
      <w:szCs w:val="32"/>
    </w:rPr>
  </w:style>
  <w:style w:type="character" w:customStyle="1" w:styleId="34">
    <w:name w:val="标题 1 Char"/>
    <w:basedOn w:val="15"/>
    <w:link w:val="2"/>
    <w:qFormat/>
    <w:uiPriority w:val="0"/>
    <w:rPr>
      <w:rFonts w:ascii="宋体" w:hAnsi="宋体" w:eastAsia="宋体" w:cs="宋体"/>
      <w:b/>
      <w:bCs/>
      <w:kern w:val="36"/>
      <w:sz w:val="24"/>
      <w:szCs w:val="24"/>
    </w:rPr>
  </w:style>
  <w:style w:type="character" w:customStyle="1" w:styleId="35">
    <w:name w:val="纯文本 Char"/>
    <w:basedOn w:val="15"/>
    <w:link w:val="27"/>
    <w:semiHidden/>
    <w:qFormat/>
    <w:uiPriority w:val="0"/>
    <w:rPr>
      <w:rFonts w:ascii="宋体" w:hAnsi="Courier New" w:eastAsia="宋体" w:cs="Times New Roman"/>
      <w:kern w:val="0"/>
      <w:szCs w:val="20"/>
    </w:rPr>
  </w:style>
  <w:style w:type="character" w:customStyle="1" w:styleId="36">
    <w:name w:val="style21"/>
    <w:basedOn w:val="15"/>
    <w:qFormat/>
    <w:uiPriority w:val="0"/>
    <w:rPr>
      <w:sz w:val="20"/>
      <w:szCs w:val="20"/>
    </w:rPr>
  </w:style>
  <w:style w:type="character" w:customStyle="1" w:styleId="37">
    <w:name w:val="标题 3 Char"/>
    <w:basedOn w:val="15"/>
    <w:link w:val="4"/>
    <w:semiHidden/>
    <w:qFormat/>
    <w:uiPriority w:val="0"/>
    <w:rPr>
      <w:b/>
      <w:bCs/>
      <w:sz w:val="32"/>
      <w:szCs w:val="32"/>
    </w:rPr>
  </w:style>
  <w:style w:type="character" w:customStyle="1" w:styleId="38">
    <w:name w:val="页脚 Char"/>
    <w:basedOn w:val="15"/>
    <w:link w:val="9"/>
    <w:semiHidden/>
    <w:qFormat/>
    <w:uiPriority w:val="0"/>
    <w:rPr>
      <w:sz w:val="18"/>
      <w:szCs w:val="18"/>
    </w:rPr>
  </w:style>
  <w:style w:type="character" w:customStyle="1" w:styleId="39">
    <w:name w:val="apple-style-span"/>
    <w:basedOn w:val="15"/>
    <w:qFormat/>
    <w:uiPriority w:val="0"/>
  </w:style>
  <w:style w:type="character" w:customStyle="1" w:styleId="40">
    <w:name w:val="不明显强调1"/>
    <w:basedOn w:val="15"/>
    <w:qFormat/>
    <w:uiPriority w:val="0"/>
    <w:rPr>
      <w:i/>
      <w:iCs/>
      <w:color w:val="7F7F7F"/>
    </w:rPr>
  </w:style>
  <w:style w:type="character" w:customStyle="1" w:styleId="41">
    <w:name w:val="批注框文本 Char Char Char Char"/>
    <w:basedOn w:val="15"/>
    <w:link w:val="24"/>
    <w:semiHidden/>
    <w:qFormat/>
    <w:uiPriority w:val="0"/>
    <w:rPr>
      <w:sz w:val="18"/>
      <w:szCs w:val="18"/>
    </w:rPr>
  </w:style>
  <w:style w:type="character" w:customStyle="1" w:styleId="42">
    <w:name w:val="页眉 Char"/>
    <w:basedOn w:val="15"/>
    <w:link w:val="10"/>
    <w:semiHidden/>
    <w:qFormat/>
    <w:uiPriority w:val="0"/>
    <w:rPr>
      <w:sz w:val="18"/>
      <w:szCs w:val="18"/>
    </w:rPr>
  </w:style>
  <w:style w:type="character" w:customStyle="1" w:styleId="43">
    <w:name w:val="批注框文本 Char"/>
    <w:basedOn w:val="15"/>
    <w:link w:val="8"/>
    <w:semiHidden/>
    <w:qFormat/>
    <w:uiPriority w:val="99"/>
    <w:rPr>
      <w:rFonts w:ascii="Calibri" w:hAnsi="Calibri"/>
      <w:kern w:val="2"/>
      <w:sz w:val="18"/>
      <w:szCs w:val="18"/>
    </w:rPr>
  </w:style>
  <w:style w:type="paragraph" w:styleId="44">
    <w:name w:val="List Paragraph"/>
    <w:basedOn w:val="1"/>
    <w:qFormat/>
    <w:uiPriority w:val="34"/>
    <w:pPr>
      <w:ind w:firstLine="420" w:firstLineChars="200"/>
    </w:pPr>
  </w:style>
  <w:style w:type="character" w:customStyle="1" w:styleId="45">
    <w:name w:val="Unresolved Mention"/>
    <w:basedOn w:val="15"/>
    <w:semiHidden/>
    <w:unhideWhenUsed/>
    <w:qFormat/>
    <w:uiPriority w:val="99"/>
    <w:rPr>
      <w:color w:val="808080"/>
      <w:shd w:val="clear" w:color="auto" w:fill="E6E6E6"/>
    </w:rPr>
  </w:style>
  <w:style w:type="character" w:customStyle="1" w:styleId="46">
    <w:name w:val="批注文字 Char"/>
    <w:basedOn w:val="15"/>
    <w:link w:val="6"/>
    <w:qFormat/>
    <w:uiPriority w:val="0"/>
    <w:rPr>
      <w:rFonts w:ascii="Calibri" w:hAnsi="Calibri"/>
      <w:kern w:val="2"/>
      <w:sz w:val="21"/>
      <w:szCs w:val="22"/>
    </w:rPr>
  </w:style>
  <w:style w:type="character" w:customStyle="1" w:styleId="47">
    <w:name w:val="批注主题 Char"/>
    <w:basedOn w:val="46"/>
    <w:link w:val="5"/>
    <w:semiHidden/>
    <w:qFormat/>
    <w:uiPriority w:val="0"/>
    <w:rPr>
      <w:rFonts w:ascii="Calibri" w:hAnsi="Calibr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244</Words>
  <Characters>1393</Characters>
  <Lines>11</Lines>
  <Paragraphs>3</Paragraphs>
  <TotalTime>0</TotalTime>
  <ScaleCrop>false</ScaleCrop>
  <LinksUpToDate>false</LinksUpToDate>
  <CharactersWithSpaces>1634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2018-05-02T05:55:00Z</dcterms:created>
  <dc:creator>微软用户</dc:creator>
  <cp:lastModifiedBy>智利winnie</cp:lastModifiedBy>
  <cp:lastPrinted>2018-05-02T01:43:00Z</cp:lastPrinted>
  <dcterms:modified xsi:type="dcterms:W3CDTF">2018-05-02T15:31:31Z</dcterms:modified>
  <dc:title>2013广东高校金融建模邀请赛</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