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十一届广东大中专学生科技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学术节之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广东省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大中专学生校园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调研大赛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eastAsia="方正仿宋_GBK"/>
          <w:kern w:val="0"/>
          <w:sz w:val="32"/>
        </w:rPr>
        <w:t>各地级以上市并顺德区团委，省直</w:t>
      </w:r>
      <w:r>
        <w:rPr>
          <w:rFonts w:hint="eastAsia" w:eastAsia="方正仿宋_GBK"/>
          <w:kern w:val="0"/>
          <w:sz w:val="32"/>
          <w:lang w:val="en-US" w:eastAsia="zh-CN"/>
        </w:rPr>
        <w:t>机关</w:t>
      </w:r>
      <w:r>
        <w:rPr>
          <w:rFonts w:hint="default" w:eastAsia="方正仿宋_GBK"/>
          <w:kern w:val="0"/>
          <w:sz w:val="32"/>
        </w:rPr>
        <w:t>团工委，各高校团委，</w:t>
      </w:r>
      <w:r>
        <w:rPr>
          <w:rFonts w:hint="eastAsia" w:eastAsia="方正仿宋_GBK"/>
          <w:kern w:val="0"/>
          <w:sz w:val="32"/>
          <w:lang w:val="en-US" w:eastAsia="zh-CN"/>
        </w:rPr>
        <w:t>各</w:t>
      </w:r>
      <w:r>
        <w:rPr>
          <w:rFonts w:hint="default" w:eastAsia="方正仿宋_GBK"/>
          <w:kern w:val="0"/>
          <w:sz w:val="32"/>
        </w:rPr>
        <w:t>中职、技工学校团委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根据《关于举办第十一届广东大中专学生科技学术节的通知》相关安排，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现将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广东省大中专学生校园调研大赛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有关事项通知如下：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  <w:t>大赛主题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聚焦热点，发现校园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  <w:t>组织机构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主办单位：共青团广东省委员会、广东省教育厅、广东省科学技术厅、广东省科学技术协会、广东省学生联合会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承办单位：共青团中山大学委员会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协办单位：中国联通有限公司广东省分公司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  <w:t>参赛对象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广东省普通高校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全体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在校学生（包括本科、专科、研究生），各中职、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中专、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技工学校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全体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在校学生。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  <w:t>大赛内容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参赛者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围绕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共青团改革、学联建设、科技创新、校园文化、社会实践、权益服务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个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方面，开展校园调研活动，形成调研报告，反映广大青年学生的诉求意愿，提出兼具创新性和可行性的建议措施等。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  <w:lang w:eastAsia="zh-CN"/>
        </w:rPr>
        <w:t>参赛方式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所有在校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学生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均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可自由组队参加比赛，同时也鼓励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个人参赛。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以团队名义参赛的队伍人数不得多于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color w:val="auto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auto"/>
          <w:kern w:val="0"/>
          <w:sz w:val="32"/>
          <w:szCs w:val="32"/>
        </w:rPr>
        <w:t>比赛流程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报名。各参赛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团队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于4月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日（星期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）前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根据比赛要求完成调研提纲的填写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并交至所在学校校团委。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）调研提纲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初审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。各高校、中职、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中专、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技工学校团委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日（星期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）前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对本校所有参赛团队的调研提纲进行初步评审并推荐五只团队（或个人），将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推荐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团队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的调研提纲（根据文后附件1的框架填写）及团队详细信息（根据文后附件3的框架填写）打包发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至邮箱gdxldyds@163.com（邮件题目格式：学校名+负责人）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）调研作品复评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。组委会和承办学校将邀请专业评委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对各高校拟推荐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参赛作品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进行复评，复评的优秀作品名单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将另行通知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，优秀作品所在团队应于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5月31日（星期三）前完成最终的调研报告，并将电子版发送至邮箱gdxldyds@163.com（邮件题目格式：学校+负责人）。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（4）调研作品终审答辩会。六月上旬，组委会和承办学校将择机举办终审答辩会。参赛队伍需派出代表对调研作品进行现场汇报及答辩，由专业评委进行综合评审。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（5）调研大赛终审。组委会和承办学校将邀请专业评委对优秀作品进行最终审核，评选出此次调研大赛一等奖、二等奖、三等奖。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color w:val="auto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auto"/>
          <w:kern w:val="0"/>
          <w:sz w:val="32"/>
          <w:szCs w:val="32"/>
        </w:rPr>
        <w:t>奖项设置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经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专家评审团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最终评审，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按比例分别评选出校园调研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大赛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一等奖、二等奖和三等奖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若干名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  <w:lang w:eastAsia="zh-CN"/>
        </w:rPr>
        <w:t>调研</w:t>
      </w: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  <w:t>内容及要求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（一）调研提纲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根据文后附件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调研提纲的框架进行填写，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应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包含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以下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内容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①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调研主题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调研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团队（或个人）信息（包括团队名称、姓名及院系专业等）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③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调研主要问题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④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调研设计论证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（包括提出问题的现状、问题产生的缘由及解决方案等）；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⑤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完成调研的条件和保证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⑥参考资料。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（二）调研报告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内容：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根据文后附件2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调研报告的框架进行撰写，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应包括以下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内容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①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调研报告题目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调研报告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引言（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包括调研的问题、调研的背景、调研的目的、调研意义等）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③调研方法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如问卷调查法、实验调研法、行动调研法、经验总结法等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right="0" w:rightChars="0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④调研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内容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right="0" w:rightChars="0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⑤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调研结论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right="0" w:rightChars="0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（三）调研报告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 xml:space="preserve">①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报告题目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明确、鲜明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、简练、醒目；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报告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引言简明扼要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③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报告内容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现实与材料统一、分析讨论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结果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实事求是；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④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调研报告字数不少于4000字；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⑤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调研方法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应具有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科学性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，能够展现调研成果的价值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报告结尾应对下一步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研究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提出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建议；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  <w:t>注意事项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right="0" w:rightChars="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1. 各参赛学校自行负责本校参赛事宜及费用。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560" w:lineRule="exact"/>
        <w:ind w:right="0" w:rightChars="0" w:firstLine="63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主办方有权根据实际情况对比赛内容、规则、奖项设置等大赛有关事项进行调整，大赛解释权归大赛组委会。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560" w:lineRule="exact"/>
        <w:ind w:right="0" w:rightChars="0" w:firstLine="63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参赛团队及选手应避免调研作品一稿多投。作品需为作者原创，如因版权引起的一切纠纷由提交者承担全部责任。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560" w:lineRule="exact"/>
        <w:ind w:right="0" w:rightChars="0" w:firstLine="63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主办单位对入选作品有展览、研究、宣传及出版的权利。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2"/>
          <w:szCs w:val="32"/>
        </w:rPr>
        <w:t>联系方式</w:t>
      </w:r>
    </w:p>
    <w:p>
      <w:pPr>
        <w:keepNext w:val="0"/>
        <w:keepLines w:val="0"/>
        <w:pageBreakBefore w:val="0"/>
        <w:shd w:val="clear" w:color="auto" w:fill="FFFFFF"/>
        <w:tabs>
          <w:tab w:val="left" w:pos="1575"/>
          <w:tab w:val="left" w:pos="483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共青团中山大学委员会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联系人：漆姗姗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、蔡师博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联系电话：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020-84111207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联系邮箱：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shd w:val="clear" w:fill="FFFFFF"/>
          <w:lang w:val="en-US" w:eastAsia="zh-CN" w:bidi="ar"/>
        </w:rPr>
        <w:t>gdxldyds@163.com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通讯地址：广州市中山大学大学城区明德园六号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附件：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 广东省大中专学生校园调研大赛调研提纲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 广东省大中专学生校园调研大赛调研报告</w:t>
      </w:r>
    </w:p>
    <w:p>
      <w:pPr>
        <w:widowControl/>
        <w:tabs>
          <w:tab w:val="left" w:pos="6480"/>
        </w:tabs>
        <w:spacing w:line="300" w:lineRule="atLeast"/>
        <w:jc w:val="both"/>
        <w:rPr>
          <w:rFonts w:hint="eastAsia" w:ascii="方正仿宋_GBK" w:hAnsi="方正仿宋_GBK" w:eastAsia="方正仿宋_GBK" w:cs="方正仿宋_GBK"/>
          <w:spacing w:val="-9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3. </w:t>
      </w:r>
      <w:r>
        <w:rPr>
          <w:rFonts w:hint="eastAsia" w:ascii="方正仿宋_GBK" w:hAnsi="方正仿宋_GBK" w:eastAsia="方正仿宋_GBK" w:cs="方正仿宋_GBK"/>
          <w:bCs/>
          <w:color w:val="000000"/>
          <w:spacing w:val="-9"/>
          <w:kern w:val="0"/>
          <w:sz w:val="32"/>
          <w:szCs w:val="32"/>
        </w:rPr>
        <w:t>广东省大</w:t>
      </w:r>
      <w:r>
        <w:rPr>
          <w:rFonts w:hint="eastAsia" w:ascii="方正仿宋_GBK" w:hAnsi="方正仿宋_GBK" w:eastAsia="方正仿宋_GBK" w:cs="方正仿宋_GBK"/>
          <w:bCs/>
          <w:color w:val="000000"/>
          <w:spacing w:val="-9"/>
          <w:kern w:val="0"/>
          <w:sz w:val="32"/>
          <w:szCs w:val="32"/>
          <w:lang w:eastAsia="zh-CN"/>
        </w:rPr>
        <w:t>中专</w:t>
      </w:r>
      <w:r>
        <w:rPr>
          <w:rFonts w:hint="eastAsia" w:ascii="方正仿宋_GBK" w:hAnsi="方正仿宋_GBK" w:eastAsia="方正仿宋_GBK" w:cs="方正仿宋_GBK"/>
          <w:bCs/>
          <w:color w:val="000000"/>
          <w:spacing w:val="-9"/>
          <w:kern w:val="0"/>
          <w:sz w:val="32"/>
          <w:szCs w:val="32"/>
        </w:rPr>
        <w:t>学生校园调研大赛</w:t>
      </w:r>
      <w:r>
        <w:rPr>
          <w:rFonts w:hint="eastAsia" w:ascii="方正仿宋_GBK" w:hAnsi="方正仿宋_GBK" w:eastAsia="方正仿宋_GBK" w:cs="方正仿宋_GBK"/>
          <w:bCs/>
          <w:color w:val="000000"/>
          <w:spacing w:val="-9"/>
          <w:kern w:val="0"/>
          <w:sz w:val="32"/>
          <w:szCs w:val="32"/>
          <w:lang w:val="en-US" w:eastAsia="zh-CN"/>
        </w:rPr>
        <w:t>参赛队伍信息统计表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right="0" w:rightChars="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第十一届广东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省大中专学生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科技学术节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组委会办公室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right="0" w:rightChars="0" w:firstLine="640" w:firstLineChars="20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2017年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日 </w:t>
      </w: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widowControl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widowControl/>
        <w:tabs>
          <w:tab w:val="left" w:pos="6480"/>
        </w:tabs>
        <w:spacing w:line="300" w:lineRule="atLeast"/>
        <w:jc w:val="center"/>
        <w:rPr>
          <w:rFonts w:ascii="楷体" w:hAnsi="楷体" w:eastAsia="楷体" w:cs="仿宋_GB2312"/>
          <w:bCs/>
          <w:color w:val="000000"/>
          <w:kern w:val="0"/>
          <w:sz w:val="36"/>
          <w:szCs w:val="32"/>
        </w:rPr>
      </w:pP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</w:rPr>
        <w:t>广东省大</w:t>
      </w: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  <w:lang w:eastAsia="zh-CN"/>
        </w:rPr>
        <w:t>中专</w:t>
      </w: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</w:rPr>
        <w:t>学生校园调研大赛</w:t>
      </w: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  <w:lang w:eastAsia="zh-CN"/>
        </w:rPr>
        <w:t>调研提纲</w:t>
      </w:r>
    </w:p>
    <w:tbl>
      <w:tblPr>
        <w:tblStyle w:val="10"/>
        <w:tblW w:w="836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992"/>
        <w:gridCol w:w="1701"/>
        <w:gridCol w:w="992"/>
        <w:gridCol w:w="1560"/>
        <w:gridCol w:w="425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队伍名称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调研主题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调研地点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cs="宋体" w:asciiTheme="minorEastAsia" w:hAnsi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</w:rPr>
              <w:t>指导教师</w:t>
            </w:r>
            <w:r>
              <w:rPr>
                <w:rFonts w:hint="eastAsia" w:cs="宋体" w:asciiTheme="minorEastAsia" w:hAnsiTheme="minorEastAsia"/>
                <w:kern w:val="0"/>
                <w:sz w:val="24"/>
                <w:lang w:eastAsia="zh-CN"/>
              </w:rPr>
              <w:t>姓</w:t>
            </w:r>
            <w:r>
              <w:rPr>
                <w:rFonts w:hint="eastAsia" w:cs="宋体" w:asciiTheme="minorEastAsia" w:hAnsiTheme="minorEastAsia"/>
                <w:kern w:val="0"/>
                <w:sz w:val="24"/>
              </w:rPr>
              <w:t>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</w:rPr>
              <w:t>单位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</w:trPr>
        <w:tc>
          <w:tcPr>
            <w:tcW w:w="1418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队</w:t>
            </w:r>
            <w:r>
              <w:rPr>
                <w:rFonts w:asciiTheme="minorEastAsia" w:hAnsiTheme="minorEastAsia"/>
                <w:kern w:val="0"/>
                <w:sz w:val="24"/>
              </w:rPr>
              <w:t xml:space="preserve">  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长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姓</w:t>
            </w:r>
            <w:r>
              <w:rPr>
                <w:rFonts w:asciiTheme="minorEastAsia" w:hAnsiTheme="minorEastAsia"/>
                <w:kern w:val="0"/>
                <w:sz w:val="24"/>
              </w:rP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院系、专业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学号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手机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418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firstLine="480" w:firstLineChars="200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418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队</w:t>
            </w:r>
            <w:r>
              <w:rPr>
                <w:rFonts w:asciiTheme="minorEastAsia" w:hAnsiTheme="minorEastAsia"/>
                <w:kern w:val="0"/>
                <w:sz w:val="24"/>
              </w:rPr>
              <w:t xml:space="preserve">  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员（不超</w:t>
            </w:r>
            <w:r>
              <w:rPr>
                <w:rFonts w:asciiTheme="minorEastAsia" w:hAnsiTheme="minorEastAsia"/>
                <w:kern w:val="0"/>
                <w:sz w:val="24"/>
              </w:rPr>
              <w:t>7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t>人，不包括队长）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firstLine="480" w:firstLineChars="200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firstLine="480" w:firstLineChars="200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firstLine="480" w:firstLineChars="200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firstLine="480" w:firstLineChars="200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firstLine="480" w:firstLineChars="200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41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firstLine="480" w:firstLineChars="200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9" w:hRule="atLeast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调研主要问题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i/>
                <w:sz w:val="24"/>
              </w:rPr>
            </w:pPr>
            <w:r>
              <w:rPr>
                <w:rFonts w:asciiTheme="minorEastAsia" w:hAnsiTheme="minorEastAsia"/>
                <w:i/>
                <w:sz w:val="24"/>
              </w:rPr>
              <w:t>本</w:t>
            </w:r>
            <w:r>
              <w:rPr>
                <w:rFonts w:hint="eastAsia" w:asciiTheme="minorEastAsia" w:hAnsiTheme="minorEastAsia"/>
                <w:i/>
                <w:sz w:val="24"/>
              </w:rPr>
              <w:t>次调研</w:t>
            </w:r>
            <w:r>
              <w:rPr>
                <w:rFonts w:hint="eastAsia" w:asciiTheme="minorEastAsia" w:hAnsiTheme="minorEastAsia"/>
                <w:i/>
                <w:sz w:val="24"/>
                <w:lang w:eastAsia="zh-CN"/>
              </w:rPr>
              <w:t>的主要问题陈述</w:t>
            </w:r>
            <w:r>
              <w:rPr>
                <w:rFonts w:hint="eastAsia" w:asciiTheme="minorEastAsia" w:hAnsiTheme="minorEastAsia"/>
                <w:i/>
                <w:sz w:val="24"/>
              </w:rPr>
              <w:t>（字数1</w:t>
            </w:r>
            <w:r>
              <w:rPr>
                <w:rFonts w:hint="eastAsia" w:asciiTheme="minorEastAsia" w:hAnsiTheme="minorEastAsia"/>
                <w:i/>
                <w:sz w:val="24"/>
                <w:lang w:val="en-US" w:eastAsia="zh-CN"/>
              </w:rPr>
              <w:t>000</w:t>
            </w:r>
            <w:r>
              <w:rPr>
                <w:rFonts w:hint="eastAsia" w:asciiTheme="minorEastAsia" w:hAnsiTheme="minorEastAsia"/>
                <w:i/>
                <w:sz w:val="24"/>
              </w:rPr>
              <w:t>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hint="eastAsia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调研设计论证</w:t>
            </w:r>
          </w:p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i/>
                <w:sz w:val="24"/>
              </w:rPr>
            </w:pPr>
            <w:r>
              <w:rPr>
                <w:rFonts w:asciiTheme="minorEastAsia" w:hAnsiTheme="minorEastAsia"/>
                <w:i/>
                <w:sz w:val="24"/>
              </w:rPr>
              <w:t>本</w:t>
            </w:r>
            <w:r>
              <w:rPr>
                <w:rFonts w:hint="eastAsia" w:asciiTheme="minorEastAsia" w:hAnsiTheme="minorEastAsia"/>
                <w:i/>
                <w:sz w:val="24"/>
              </w:rPr>
              <w:t>次调研</w:t>
            </w:r>
            <w:r>
              <w:rPr>
                <w:rFonts w:hint="eastAsia" w:asciiTheme="minorEastAsia" w:hAnsiTheme="minorEastAsia"/>
                <w:i/>
                <w:sz w:val="24"/>
                <w:lang w:eastAsia="zh-CN"/>
              </w:rPr>
              <w:t>的</w:t>
            </w:r>
            <w:r>
              <w:rPr>
                <w:rFonts w:asciiTheme="minorEastAsia" w:hAnsiTheme="minorEastAsia"/>
                <w:i/>
                <w:sz w:val="24"/>
              </w:rPr>
              <w:t>重点和难点</w:t>
            </w:r>
            <w:r>
              <w:rPr>
                <w:rFonts w:hint="eastAsia" w:asciiTheme="minorEastAsia" w:hAnsiTheme="minorEastAsia"/>
                <w:i/>
                <w:sz w:val="24"/>
              </w:rPr>
              <w:t>；调研方法简述</w:t>
            </w:r>
            <w:r>
              <w:rPr>
                <w:rFonts w:asciiTheme="minorEastAsia" w:hAnsiTheme="minorEastAsia"/>
                <w:i/>
                <w:sz w:val="24"/>
              </w:rPr>
              <w:t>；</w:t>
            </w:r>
            <w:r>
              <w:rPr>
                <w:rFonts w:hint="eastAsia" w:asciiTheme="minorEastAsia" w:hAnsiTheme="minorEastAsia"/>
                <w:i/>
                <w:sz w:val="24"/>
              </w:rPr>
              <w:t>调研</w:t>
            </w:r>
            <w:r>
              <w:rPr>
                <w:rFonts w:asciiTheme="minorEastAsia" w:hAnsiTheme="minorEastAsia"/>
                <w:i/>
                <w:sz w:val="24"/>
              </w:rPr>
              <w:t>的创新</w:t>
            </w:r>
            <w:r>
              <w:rPr>
                <w:rFonts w:hint="eastAsia" w:asciiTheme="minorEastAsia" w:hAnsiTheme="minorEastAsia"/>
                <w:i/>
                <w:sz w:val="24"/>
              </w:rPr>
              <w:t>。（字数</w:t>
            </w:r>
            <w:r>
              <w:rPr>
                <w:rFonts w:hint="eastAsia" w:asciiTheme="minorEastAsia" w:hAnsiTheme="minorEastAsia"/>
                <w:i/>
                <w:sz w:val="24"/>
                <w:lang w:val="en-US" w:eastAsia="zh-CN"/>
              </w:rPr>
              <w:t>500</w:t>
            </w:r>
            <w:r>
              <w:rPr>
                <w:rFonts w:hint="eastAsia" w:asciiTheme="minorEastAsia" w:hAnsiTheme="minorEastAsia"/>
                <w:i/>
                <w:sz w:val="24"/>
              </w:rPr>
              <w:t>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5" w:hRule="atLeast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完成调研的条件和保证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i/>
                <w:sz w:val="24"/>
              </w:rPr>
              <w:t>完成本次调研的研究能力、可进入条件和时间保证；资料设备；科研手段。（字数500以内）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4" w:hRule="atLeast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参考资料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8" w:hRule="atLeast"/>
        </w:trPr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指导教师意见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Style w:val="17"/>
                <w:rFonts w:cs="Arial" w:asciiTheme="minorEastAsia" w:hAnsiTheme="minorEastAsia"/>
                <w:color w:val="2B2B2B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contextualSpacing/>
              <w:rPr>
                <w:rStyle w:val="17"/>
                <w:rFonts w:cs="Arial" w:asciiTheme="minorEastAsia" w:hAnsiTheme="minorEastAsia"/>
                <w:color w:val="2B2B2B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contextualSpacing/>
              <w:rPr>
                <w:rStyle w:val="17"/>
                <w:rFonts w:cs="Arial" w:asciiTheme="minorEastAsia" w:hAnsiTheme="minorEastAsia"/>
                <w:color w:val="2B2B2B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120" w:firstLine="480" w:firstLineChars="200"/>
              <w:contextualSpacing/>
              <w:rPr>
                <w:rStyle w:val="17"/>
                <w:rFonts w:cs="Arial" w:asciiTheme="minorEastAsia" w:hAnsiTheme="minorEastAsia"/>
                <w:color w:val="2B2B2B"/>
                <w:sz w:val="24"/>
              </w:rPr>
            </w:pPr>
            <w:r>
              <w:rPr>
                <w:rStyle w:val="17"/>
                <w:rFonts w:hint="eastAsia" w:cs="Arial" w:asciiTheme="minorEastAsia" w:hAnsiTheme="minorEastAsia"/>
                <w:color w:val="2B2B2B"/>
                <w:sz w:val="24"/>
              </w:rPr>
              <w:t>签名：</w:t>
            </w:r>
          </w:p>
          <w:p>
            <w:pPr>
              <w:adjustRightInd w:val="0"/>
              <w:snapToGrid w:val="0"/>
              <w:spacing w:line="360" w:lineRule="auto"/>
              <w:ind w:firstLine="480" w:firstLineChars="200"/>
              <w:contextualSpacing/>
              <w:rPr>
                <w:rStyle w:val="17"/>
                <w:rFonts w:cs="Arial" w:asciiTheme="minorEastAsia" w:hAnsiTheme="minorEastAsia"/>
                <w:color w:val="2B2B2B"/>
                <w:sz w:val="24"/>
              </w:rPr>
            </w:pPr>
            <w:r>
              <w:rPr>
                <w:rStyle w:val="17"/>
                <w:rFonts w:hint="eastAsia" w:cs="Arial" w:asciiTheme="minorEastAsia" w:hAnsiTheme="minorEastAsia"/>
                <w:color w:val="2B2B2B"/>
                <w:sz w:val="24"/>
              </w:rPr>
              <w:t xml:space="preserve">   年  </w:t>
            </w:r>
            <w:r>
              <w:rPr>
                <w:rStyle w:val="17"/>
                <w:rFonts w:cs="Arial" w:asciiTheme="minorEastAsia" w:hAnsiTheme="minorEastAsia"/>
                <w:color w:val="2B2B2B"/>
                <w:sz w:val="24"/>
              </w:rPr>
              <w:t xml:space="preserve"> </w:t>
            </w:r>
            <w:r>
              <w:rPr>
                <w:rStyle w:val="17"/>
                <w:rFonts w:hint="eastAsia" w:cs="Arial" w:asciiTheme="minorEastAsia" w:hAnsiTheme="minorEastAsia"/>
                <w:color w:val="2B2B2B"/>
                <w:sz w:val="24"/>
              </w:rPr>
              <w:t>月  日</w:t>
            </w:r>
          </w:p>
        </w:tc>
      </w:tr>
    </w:tbl>
    <w:p>
      <w:pPr>
        <w:widowControl/>
        <w:tabs>
          <w:tab w:val="left" w:pos="6480"/>
        </w:tabs>
        <w:spacing w:line="300" w:lineRule="atLeast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tabs>
          <w:tab w:val="left" w:pos="6480"/>
        </w:tabs>
        <w:spacing w:line="300" w:lineRule="atLeast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tabs>
          <w:tab w:val="left" w:pos="6480"/>
        </w:tabs>
        <w:spacing w:line="300" w:lineRule="atLeast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widowControl/>
        <w:tabs>
          <w:tab w:val="left" w:pos="6480"/>
        </w:tabs>
        <w:spacing w:line="300" w:lineRule="atLeast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widowControl/>
        <w:tabs>
          <w:tab w:val="left" w:pos="6480"/>
        </w:tabs>
        <w:spacing w:line="300" w:lineRule="atLeast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widowControl/>
        <w:tabs>
          <w:tab w:val="left" w:pos="6480"/>
        </w:tabs>
        <w:spacing w:line="300" w:lineRule="atLeast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widowControl/>
        <w:tabs>
          <w:tab w:val="left" w:pos="6480"/>
        </w:tabs>
        <w:spacing w:line="300" w:lineRule="atLeast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widowControl/>
        <w:tabs>
          <w:tab w:val="left" w:pos="6480"/>
        </w:tabs>
        <w:spacing w:line="300" w:lineRule="atLeas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</w:p>
    <w:p>
      <w:pPr>
        <w:widowControl/>
        <w:tabs>
          <w:tab w:val="left" w:pos="6480"/>
        </w:tabs>
        <w:spacing w:line="300" w:lineRule="atLeast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</w:rPr>
        <w:t>广东省大</w:t>
      </w: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  <w:lang w:eastAsia="zh-CN"/>
        </w:rPr>
        <w:t>中专</w:t>
      </w: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</w:rPr>
        <w:t>学生校园调研大赛</w:t>
      </w: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  <w:lang w:eastAsia="zh-CN"/>
        </w:rPr>
        <w:t>调研报告</w:t>
      </w:r>
    </w:p>
    <w:tbl>
      <w:tblPr>
        <w:tblStyle w:val="10"/>
        <w:tblW w:w="828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6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4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题目</w:t>
            </w:r>
          </w:p>
        </w:tc>
        <w:tc>
          <w:tcPr>
            <w:tcW w:w="6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cs="宋体" w:asciiTheme="minorEastAsia" w:hAnsi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5" w:hRule="atLeast"/>
        </w:trPr>
        <w:tc>
          <w:tcPr>
            <w:tcW w:w="14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eastAsia="zh-CN"/>
              </w:rPr>
              <w:t>引言</w:t>
            </w:r>
          </w:p>
        </w:tc>
        <w:tc>
          <w:tcPr>
            <w:tcW w:w="6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i/>
                <w:sz w:val="24"/>
              </w:rPr>
            </w:pPr>
            <w:r>
              <w:rPr>
                <w:rFonts w:asciiTheme="minorEastAsia" w:hAnsiTheme="minorEastAsia"/>
                <w:i/>
                <w:sz w:val="24"/>
              </w:rPr>
              <w:t>本</w:t>
            </w:r>
            <w:r>
              <w:rPr>
                <w:rFonts w:hint="eastAsia" w:asciiTheme="minorEastAsia" w:hAnsiTheme="minorEastAsia"/>
                <w:i/>
                <w:sz w:val="24"/>
              </w:rPr>
              <w:t>次</w:t>
            </w:r>
            <w:r>
              <w:rPr>
                <w:rFonts w:hint="eastAsia" w:ascii="宋体" w:hAnsi="宋体" w:eastAsia="宋体" w:cs="宋体"/>
                <w:i/>
                <w:iCs/>
                <w:sz w:val="24"/>
                <w:szCs w:val="24"/>
                <w:lang w:eastAsia="zh-CN"/>
              </w:rPr>
              <w:t>调研的问题、调研的背景、调研的目的、调研意义等</w:t>
            </w:r>
            <w:r>
              <w:rPr>
                <w:rFonts w:hint="eastAsia" w:ascii="宋体" w:hAnsi="宋体" w:eastAsia="宋体" w:cs="宋体"/>
                <w:i/>
                <w:iCs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/>
                <w:i/>
                <w:sz w:val="24"/>
              </w:rPr>
              <w:t>字数</w:t>
            </w:r>
            <w:r>
              <w:rPr>
                <w:rFonts w:hint="eastAsia" w:asciiTheme="minorEastAsia" w:hAnsiTheme="minorEastAsia"/>
                <w:i/>
                <w:sz w:val="24"/>
                <w:lang w:val="en-US" w:eastAsia="zh-CN"/>
              </w:rPr>
              <w:t>不少于1500字</w:t>
            </w:r>
            <w:r>
              <w:rPr>
                <w:rFonts w:hint="eastAsia" w:asciiTheme="minorEastAsia" w:hAnsiTheme="minorEastAsia"/>
                <w:i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7" w:hRule="atLeast"/>
        </w:trPr>
        <w:tc>
          <w:tcPr>
            <w:tcW w:w="14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hint="eastAsia" w:ascii="宋体" w:hAnsi="宋体" w:eastAsia="宋体" w:cs="宋体"/>
                <w:i w:val="0"/>
                <w:i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</w:rPr>
              <w:t>调研方法</w:t>
            </w:r>
          </w:p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6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i/>
                <w:sz w:val="24"/>
              </w:rPr>
            </w:pPr>
            <w:r>
              <w:rPr>
                <w:rFonts w:asciiTheme="minorEastAsia" w:hAnsiTheme="minorEastAsia"/>
                <w:i/>
                <w:sz w:val="24"/>
              </w:rPr>
              <w:t>本</w:t>
            </w:r>
            <w:r>
              <w:rPr>
                <w:rFonts w:hint="eastAsia" w:asciiTheme="minorEastAsia" w:hAnsiTheme="minorEastAsia"/>
                <w:i/>
                <w:sz w:val="24"/>
              </w:rPr>
              <w:t>次调研</w:t>
            </w:r>
            <w:r>
              <w:rPr>
                <w:rFonts w:hint="eastAsia" w:asciiTheme="minorEastAsia" w:hAnsiTheme="minorEastAsia"/>
                <w:i/>
                <w:sz w:val="24"/>
                <w:lang w:eastAsia="zh-CN"/>
              </w:rPr>
              <w:t>所使用的方法</w:t>
            </w:r>
            <w:r>
              <w:rPr>
                <w:rFonts w:hint="eastAsia" w:ascii="宋体" w:hAnsi="宋体" w:eastAsia="宋体" w:cs="宋体"/>
                <w:i/>
                <w:i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/>
                <w:iCs w:val="0"/>
                <w:sz w:val="24"/>
                <w:szCs w:val="24"/>
                <w:lang w:val="en-US" w:eastAsia="zh-CN"/>
              </w:rPr>
              <w:t>如问卷调查法、实验调研法、行动调研法、经验总结法等</w:t>
            </w:r>
            <w:r>
              <w:rPr>
                <w:rFonts w:hint="eastAsia" w:asciiTheme="minorEastAsia" w:hAnsiTheme="minorEastAsia"/>
                <w:i/>
                <w:sz w:val="24"/>
              </w:rPr>
              <w:t>（字数</w:t>
            </w:r>
            <w:r>
              <w:rPr>
                <w:rFonts w:hint="eastAsia" w:asciiTheme="minorEastAsia" w:hAnsiTheme="minorEastAsia"/>
                <w:i/>
                <w:sz w:val="24"/>
                <w:lang w:val="en-US" w:eastAsia="zh-CN"/>
              </w:rPr>
              <w:t>不少于500字</w:t>
            </w:r>
            <w:r>
              <w:rPr>
                <w:rFonts w:hint="eastAsia" w:asciiTheme="minorEastAsia" w:hAnsiTheme="minorEastAsia"/>
                <w:i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3" w:hRule="atLeast"/>
        </w:trPr>
        <w:tc>
          <w:tcPr>
            <w:tcW w:w="14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内容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分析</w:t>
            </w:r>
          </w:p>
        </w:tc>
        <w:tc>
          <w:tcPr>
            <w:tcW w:w="6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i/>
                <w:sz w:val="24"/>
              </w:rPr>
              <w:t>本次调研</w:t>
            </w:r>
            <w:r>
              <w:rPr>
                <w:rFonts w:hint="eastAsia" w:asciiTheme="minorEastAsia" w:hAnsiTheme="minorEastAsia"/>
                <w:i/>
                <w:sz w:val="24"/>
                <w:lang w:eastAsia="zh-CN"/>
              </w:rPr>
              <w:t>的主要内容分析</w:t>
            </w:r>
            <w:r>
              <w:rPr>
                <w:rFonts w:hint="eastAsia" w:asciiTheme="minorEastAsia" w:hAnsiTheme="minorEastAsia"/>
                <w:i/>
                <w:sz w:val="24"/>
              </w:rPr>
              <w:t>（字数</w:t>
            </w:r>
            <w:r>
              <w:rPr>
                <w:rFonts w:hint="eastAsia" w:asciiTheme="minorEastAsia" w:hAnsiTheme="minorEastAsia"/>
                <w:i/>
                <w:sz w:val="24"/>
                <w:lang w:val="en-US" w:eastAsia="zh-CN"/>
              </w:rPr>
              <w:t>不少于2000字</w:t>
            </w:r>
            <w:r>
              <w:rPr>
                <w:rFonts w:hint="eastAsia" w:asciiTheme="minorEastAsia" w:hAnsiTheme="minorEastAsia"/>
                <w:i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3" w:hRule="atLeast"/>
        </w:trPr>
        <w:tc>
          <w:tcPr>
            <w:tcW w:w="14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contextualSpacing/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调研结论</w:t>
            </w:r>
          </w:p>
        </w:tc>
        <w:tc>
          <w:tcPr>
            <w:tcW w:w="6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contextualSpacing/>
              <w:rPr>
                <w:rFonts w:asciiTheme="minorEastAsia" w:hAnsiTheme="minorEastAsia"/>
                <w:i/>
                <w:sz w:val="24"/>
              </w:rPr>
            </w:pPr>
            <w:r>
              <w:rPr>
                <w:rFonts w:hint="eastAsia" w:asciiTheme="minorEastAsia" w:hAnsiTheme="minorEastAsia"/>
                <w:i/>
                <w:sz w:val="24"/>
              </w:rPr>
              <w:t>本次调研</w:t>
            </w:r>
            <w:r>
              <w:rPr>
                <w:rFonts w:hint="eastAsia" w:asciiTheme="minorEastAsia" w:hAnsiTheme="minorEastAsia"/>
                <w:i/>
                <w:sz w:val="24"/>
                <w:lang w:eastAsia="zh-CN"/>
              </w:rPr>
              <w:t>的主要结论，并为下一步研究提出建议。</w:t>
            </w:r>
          </w:p>
        </w:tc>
      </w:tr>
    </w:tbl>
    <w:p>
      <w:pPr>
        <w:widowControl/>
        <w:tabs>
          <w:tab w:val="left" w:pos="6480"/>
        </w:tabs>
        <w:spacing w:line="300" w:lineRule="atLeas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widowControl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widowControl/>
        <w:tabs>
          <w:tab w:val="left" w:pos="6480"/>
        </w:tabs>
        <w:spacing w:line="300" w:lineRule="atLeast"/>
        <w:jc w:val="center"/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</w:rPr>
      </w:pP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</w:rPr>
        <w:t>广东省大</w:t>
      </w: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  <w:lang w:eastAsia="zh-CN"/>
        </w:rPr>
        <w:t>中专</w:t>
      </w: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</w:rPr>
        <w:t>学生校园调研大赛</w:t>
      </w:r>
    </w:p>
    <w:p>
      <w:pPr>
        <w:widowControl/>
        <w:tabs>
          <w:tab w:val="left" w:pos="6480"/>
        </w:tabs>
        <w:spacing w:line="300" w:lineRule="atLeast"/>
        <w:jc w:val="center"/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  <w:lang w:val="en-US" w:eastAsia="zh-CN"/>
        </w:rPr>
      </w:pPr>
      <w:r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  <w:lang w:val="en-US" w:eastAsia="zh-CN"/>
        </w:rPr>
        <w:t>参赛队伍信息统计表</w:t>
      </w:r>
    </w:p>
    <w:tbl>
      <w:tblPr>
        <w:tblStyle w:val="11"/>
        <w:tblW w:w="10530" w:type="dxa"/>
        <w:jc w:val="center"/>
        <w:tblInd w:w="-7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440"/>
        <w:gridCol w:w="1020"/>
        <w:gridCol w:w="3270"/>
        <w:gridCol w:w="1200"/>
        <w:gridCol w:w="945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vAlign w:val="center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学校名称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团队名称</w:t>
            </w:r>
          </w:p>
        </w:tc>
        <w:tc>
          <w:tcPr>
            <w:tcW w:w="1020" w:type="dxa"/>
            <w:textDirection w:val="lrTb"/>
            <w:vAlign w:val="center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3270" w:type="dxa"/>
            <w:textDirection w:val="lrTb"/>
            <w:vAlign w:val="center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调研题目</w:t>
            </w:r>
          </w:p>
        </w:tc>
        <w:tc>
          <w:tcPr>
            <w:tcW w:w="1200" w:type="dxa"/>
            <w:textDirection w:val="lrTb"/>
            <w:vAlign w:val="center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945" w:type="dxa"/>
            <w:textDirection w:val="lrTb"/>
            <w:vAlign w:val="center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指导</w:t>
            </w:r>
          </w:p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老师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指导老师</w:t>
            </w:r>
          </w:p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仿宋_GB2312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7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7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7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7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7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5" w:type="dxa"/>
          </w:tcPr>
          <w:p>
            <w:pPr>
              <w:widowControl/>
              <w:tabs>
                <w:tab w:val="left" w:pos="6480"/>
              </w:tabs>
              <w:spacing w:line="300" w:lineRule="atLeast"/>
              <w:jc w:val="center"/>
              <w:rPr>
                <w:rFonts w:hint="eastAsia" w:ascii="楷体" w:hAnsi="楷体" w:eastAsia="楷体" w:cs="仿宋_GB2312"/>
                <w:bCs/>
                <w:color w:val="000000"/>
                <w:kern w:val="0"/>
                <w:sz w:val="36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widowControl/>
        <w:tabs>
          <w:tab w:val="left" w:pos="6480"/>
        </w:tabs>
        <w:spacing w:line="300" w:lineRule="atLeast"/>
        <w:jc w:val="center"/>
        <w:rPr>
          <w:rFonts w:hint="eastAsia" w:ascii="楷体" w:hAnsi="楷体" w:eastAsia="楷体" w:cs="仿宋_GB2312"/>
          <w:bCs/>
          <w:color w:val="000000"/>
          <w:kern w:val="0"/>
          <w:sz w:val="36"/>
          <w:szCs w:val="32"/>
          <w:lang w:val="en-US" w:eastAsia="zh-CN"/>
        </w:rPr>
      </w:pPr>
    </w:p>
    <w:p>
      <w:pPr>
        <w:widowControl/>
        <w:tabs>
          <w:tab w:val="left" w:pos="6480"/>
        </w:tabs>
        <w:spacing w:line="300" w:lineRule="atLeas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公文小标宋简">
    <w:altName w:val="宋体"/>
    <w:panose1 w:val="02010609010101010101"/>
    <w:charset w:val="86"/>
    <w:family w:val="auto"/>
    <w:pitch w:val="default"/>
    <w:sig w:usb0="00000000" w:usb1="00000000" w:usb2="0000001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F70F6"/>
    <w:multiLevelType w:val="singleLevel"/>
    <w:tmpl w:val="58CF70F6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D8D2D6"/>
    <w:multiLevelType w:val="singleLevel"/>
    <w:tmpl w:val="58D8D2D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409FB"/>
    <w:rsid w:val="2D5F5C7D"/>
    <w:rsid w:val="313637F6"/>
    <w:rsid w:val="5836435C"/>
    <w:rsid w:val="714A3E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qFormat/>
    <w:uiPriority w:val="0"/>
    <w:rPr>
      <w:b/>
      <w:bCs/>
    </w:rPr>
  </w:style>
  <w:style w:type="paragraph" w:styleId="3">
    <w:name w:val="annotation text"/>
    <w:basedOn w:val="1"/>
    <w:link w:val="13"/>
    <w:qFormat/>
    <w:uiPriority w:val="99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table" w:styleId="11">
    <w:name w:val="Table Grid"/>
    <w:basedOn w:val="10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文字 字符"/>
    <w:basedOn w:val="8"/>
    <w:link w:val="3"/>
    <w:qFormat/>
    <w:uiPriority w:val="99"/>
    <w:rPr>
      <w:kern w:val="2"/>
      <w:sz w:val="21"/>
      <w:szCs w:val="24"/>
    </w:rPr>
  </w:style>
  <w:style w:type="character" w:customStyle="1" w:styleId="14">
    <w:name w:val="批注主题 字符"/>
    <w:basedOn w:val="13"/>
    <w:link w:val="2"/>
    <w:qFormat/>
    <w:uiPriority w:val="0"/>
    <w:rPr>
      <w:b/>
      <w:bCs/>
      <w:kern w:val="2"/>
      <w:sz w:val="21"/>
      <w:szCs w:val="24"/>
    </w:rPr>
  </w:style>
  <w:style w:type="character" w:customStyle="1" w:styleId="15">
    <w:name w:val="批注框文本 字符"/>
    <w:basedOn w:val="8"/>
    <w:link w:val="4"/>
    <w:qFormat/>
    <w:uiPriority w:val="0"/>
    <w:rPr>
      <w:kern w:val="2"/>
      <w:sz w:val="18"/>
      <w:szCs w:val="18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character" w:customStyle="1" w:styleId="17">
    <w:name w:val="hl51"/>
    <w:qFormat/>
    <w:uiPriority w:val="99"/>
    <w:rPr>
      <w:rFonts w:cs="Times New Roman"/>
    </w:rPr>
  </w:style>
  <w:style w:type="character" w:customStyle="1" w:styleId="18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9">
    <w:name w:val="页脚 字符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2003</Words>
  <Characters>2088</Characters>
  <Lines>16</Lines>
  <Paragraphs>4</Paragraphs>
  <ScaleCrop>false</ScaleCrop>
  <LinksUpToDate>false</LinksUpToDate>
  <CharactersWithSpaces>2229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2017-03-20T21:09:00Z</dcterms:created>
  <dc:creator>林展翰</dc:creator>
  <cp:lastModifiedBy>Administrator</cp:lastModifiedBy>
  <cp:lastPrinted>2017-04-18T07:40:50Z</cp:lastPrinted>
  <dcterms:modified xsi:type="dcterms:W3CDTF">2017-04-18T08:45:50Z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