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line="240" w:lineRule="auto"/>
        <w:ind w:left="79" w:leftChars="0"/>
        <w:jc w:val="center"/>
        <w:textAlignment w:val="center"/>
        <w:rPr>
          <w:rFonts w:hint="eastAsia" w:ascii="宋体" w:hAnsi="宋体" w:eastAsia="宋体" w:cs="宋体"/>
          <w:b/>
          <w:bCs/>
          <w:sz w:val="30"/>
          <w:szCs w:val="30"/>
          <w:lang w:val="en-US" w:eastAsia="zh-CN"/>
        </w:rPr>
      </w:pPr>
      <w:bookmarkStart w:id="0" w:name="_GoBack"/>
      <w:bookmarkEnd w:id="0"/>
      <w:r>
        <w:rPr>
          <w:rFonts w:hint="eastAsia" w:ascii="宋体" w:hAnsi="宋体" w:eastAsia="宋体" w:cs="宋体"/>
          <w:b/>
          <w:bCs/>
          <w:sz w:val="30"/>
          <w:szCs w:val="30"/>
          <w:lang w:val="en-US" w:eastAsia="zh-CN"/>
        </w:rPr>
        <w:t>2017年度广东大学生科技创新培育专项资金资助项目汕头大学结项验收结果</w:t>
      </w:r>
    </w:p>
    <w:p>
      <w:pPr>
        <w:pStyle w:val="4"/>
        <w:keepNext w:val="0"/>
        <w:keepLines w:val="0"/>
        <w:pageBreakBefore w:val="0"/>
        <w:widowControl/>
        <w:kinsoku/>
        <w:wordWrap/>
        <w:overflowPunct/>
        <w:topLinePunct w:val="0"/>
        <w:autoSpaceDE/>
        <w:autoSpaceDN/>
        <w:bidi w:val="0"/>
        <w:adjustRightInd w:val="0"/>
        <w:snapToGrid w:val="0"/>
        <w:spacing w:line="240" w:lineRule="auto"/>
        <w:ind w:left="79" w:leftChars="0"/>
        <w:jc w:val="center"/>
        <w:textAlignment w:val="center"/>
        <w:rPr>
          <w:rFonts w:hint="eastAsia" w:ascii="宋体" w:hAnsi="宋体" w:eastAsia="宋体" w:cs="宋体"/>
          <w:b/>
          <w:bCs/>
          <w:sz w:val="30"/>
          <w:szCs w:val="30"/>
          <w:lang w:val="en-US" w:eastAsia="zh-CN"/>
        </w:rPr>
      </w:pPr>
    </w:p>
    <w:tbl>
      <w:tblPr>
        <w:tblStyle w:val="2"/>
        <w:tblW w:w="13988" w:type="dxa"/>
        <w:jc w:val="center"/>
        <w:tblInd w:w="0" w:type="dxa"/>
        <w:tblLayout w:type="fixed"/>
        <w:tblCellMar>
          <w:top w:w="15" w:type="dxa"/>
          <w:left w:w="15" w:type="dxa"/>
          <w:bottom w:w="15" w:type="dxa"/>
          <w:right w:w="15" w:type="dxa"/>
        </w:tblCellMar>
      </w:tblPr>
      <w:tblGrid>
        <w:gridCol w:w="785"/>
        <w:gridCol w:w="1939"/>
        <w:gridCol w:w="2044"/>
        <w:gridCol w:w="2454"/>
        <w:gridCol w:w="1409"/>
        <w:gridCol w:w="2418"/>
        <w:gridCol w:w="1470"/>
        <w:gridCol w:w="1469"/>
      </w:tblGrid>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79" w:leftChars="0"/>
              <w:jc w:val="center"/>
              <w:textAlignment w:val="center"/>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lang w:eastAsia="zh-CN"/>
              </w:rPr>
              <w:t>序号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lang w:eastAsia="zh-CN"/>
              </w:rPr>
              <w:t>承担单位</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项目编号</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项目名称</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lang w:eastAsia="zh-CN"/>
              </w:rPr>
              <w:t>主要负责人</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学科类别</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项目登记</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是否通过结项</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pdjh2017a0187</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GD-OES与GD-ToF-MS深度谱定量分析的研究</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梁家伟</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自然科学类学术论文</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重点项目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pdjh2017b0189</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基于磁流体自组装的微纳米材料电阻特性测试平台的设计与实现</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李  翔</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科技发明制作类</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pdjh2017b0190</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基于机器视觉的分拣垛堆机的设计与开发</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胡人凯</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科技发明制作类</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pdjh2017b0191</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全自动多功能机器视觉检测平台的研究与开发</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柏林君</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科技发明制作类</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pdjh2017b0192</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环保型纳米玻璃油墨的制备及其性能研究</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王文君</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科技发明制作类</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pdjh2017b0193</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一种电磁电饭锅用复合陶瓷胆的制备</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黄永俊</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科技发明制作类</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pdjh2017b0194</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改良Halo架用于辅助下颈椎单侧关节突交锁复位技术及商业推广</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邵欣慰</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科技发明制作类</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pdjh2017b0195</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ATS藻板与自然礁石上藻群生物多样性的比较研究</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王欢欢</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自然科学类学术论文</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pdjh2017b0196</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酒精对神经干动作电位影响的系统定量研究</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黄志华</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自然科学类学术论文</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pdjh2017b0197</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潮汕地区素食人群膳食模式与骨质疏松状况研究</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谭晓霞</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自然科学类学术论文</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pdjh2017b0198</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在校大学生科研创新与能力提升问题研究——以汕头大学本科生学术研究情况为例</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倪晶晶</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哲学社会科学类社会调查报告和学术论文</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pdjh2017b0199</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医学生医师职业精神的认知与培育探索</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吴  琦</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哲学社会科学类社会调查报告和学术论文</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pdjh2017b0200</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汕头大学医学院学生课外阅读状况及影响因素研究</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赵端龙</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哲学社会科学类社会调查报告和学术论文</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rPr>
              <w:t>一般项目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是</w:t>
            </w:r>
          </w:p>
        </w:tc>
      </w:tr>
      <w:tr>
        <w:tblPrEx>
          <w:tblLayout w:type="fixed"/>
          <w:tblCellMar>
            <w:top w:w="15" w:type="dxa"/>
            <w:left w:w="15" w:type="dxa"/>
            <w:bottom w:w="15" w:type="dxa"/>
            <w:right w:w="15" w:type="dxa"/>
          </w:tblCellMar>
        </w:tblPrEx>
        <w:trPr>
          <w:cantSplit/>
          <w:trHeight w:val="23"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Chars="0"/>
              <w:jc w:val="center"/>
              <w:textAlignment w:val="center"/>
              <w:rPr>
                <w:rFonts w:hint="eastAsia" w:ascii="宋体" w:hAnsi="宋体" w:eastAsia="宋体" w:cs="宋体"/>
                <w:color w:val="auto"/>
                <w:kern w:val="0"/>
                <w:szCs w:val="21"/>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汕头大学</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pdjh2017a0188</w:t>
            </w:r>
          </w:p>
        </w:tc>
        <w:tc>
          <w:tcPr>
            <w:tcW w:w="2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公益类众筹平台的法律风险研究——以“轻松筹”为例</w:t>
            </w:r>
          </w:p>
        </w:tc>
        <w:tc>
          <w:tcPr>
            <w:tcW w:w="14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苏淑敏</w:t>
            </w:r>
          </w:p>
        </w:tc>
        <w:tc>
          <w:tcPr>
            <w:tcW w:w="24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哲学社会科学类社会调查报告和学术论文</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重点项目</w:t>
            </w:r>
          </w:p>
        </w:tc>
        <w:tc>
          <w:tcPr>
            <w:tcW w:w="14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否</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00111"/>
    <w:multiLevelType w:val="multilevel"/>
    <w:tmpl w:val="3E700111"/>
    <w:lvl w:ilvl="0" w:tentative="0">
      <w:start w:val="1"/>
      <w:numFmt w:val="decimal"/>
      <w:suff w:val="nothing"/>
      <w:lvlText w:val="%1"/>
      <w:lvlJc w:val="center"/>
      <w:pPr>
        <w:ind w:left="0" w:firstLine="7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24989"/>
    <w:rsid w:val="08377A5E"/>
    <w:rsid w:val="47324989"/>
    <w:rsid w:val="767E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2019-04-26T03:27:00Z</dcterms:created>
  <dc:creator>admin</dc:creator>
  <cp:lastModifiedBy>admin</cp:lastModifiedBy>
  <dcterms:modified xsi:type="dcterms:W3CDTF">2019-04-26T03:44:05Z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