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0" w:line="240" w:lineRule="auto"/>
        <w:ind w:left="57" w:right="153" w:firstLine="34"/>
        <w:contextualSpacing/>
        <w:jc w:val="left"/>
        <w:rPr>
          <w:rFonts w:ascii="方正大标宋_GBK" w:hAnsi="宋体" w:eastAsia="方正大标宋_GBK"/>
          <w:snapToGrid w:val="0"/>
          <w:color w:val="FF6565"/>
          <w:kern w:val="0"/>
          <w:sz w:val="72"/>
          <w:szCs w:val="72"/>
        </w:rPr>
      </w:pPr>
      <w:bookmarkStart w:id="3" w:name="_GoBack"/>
      <w:bookmarkEnd w:id="3"/>
      <w:r>
        <w:rPr>
          <w:rFonts w:hint="eastAsia" w:ascii="方正大标宋_GBK" w:hAnsi="宋体" w:eastAsia="方正大标宋_GBK"/>
          <w:snapToGrid w:val="0"/>
          <w:color w:val="FF6565"/>
          <w:spacing w:val="88"/>
          <w:kern w:val="0"/>
          <w:sz w:val="72"/>
          <w:szCs w:val="72"/>
        </w:rPr>
        <w:t>中共广东省委宣传</w:t>
      </w:r>
      <w:r>
        <w:rPr>
          <w:rFonts w:hint="eastAsia" w:ascii="方正大标宋_GBK" w:hAnsi="宋体" w:eastAsia="方正大标宋_GBK"/>
          <w:snapToGrid w:val="0"/>
          <w:color w:val="FF6565"/>
          <w:spacing w:val="20"/>
          <w:kern w:val="0"/>
          <w:sz w:val="72"/>
          <w:szCs w:val="72"/>
        </w:rPr>
        <w:t>部</w:t>
      </w:r>
      <w:r>
        <w:rPr>
          <w:rFonts w:hint="eastAsia" w:ascii="方正大标宋_GBK" w:hAnsi="宋体" w:eastAsia="方正大标宋_GBK"/>
          <w:snapToGrid w:val="0"/>
          <w:color w:val="FF6565"/>
          <w:spacing w:val="360"/>
          <w:kern w:val="0"/>
          <w:sz w:val="72"/>
          <w:szCs w:val="72"/>
        </w:rPr>
        <w:t>广</w:t>
      </w:r>
      <w:r>
        <w:rPr>
          <w:rFonts w:hint="eastAsia" w:ascii="方正大标宋_GBK" w:hAnsi="宋体" w:eastAsia="方正大标宋_GBK"/>
          <w:snapToGrid w:val="0"/>
          <w:color w:val="FF6565"/>
          <w:spacing w:val="400"/>
          <w:kern w:val="0"/>
          <w:sz w:val="72"/>
          <w:szCs w:val="72"/>
        </w:rPr>
        <w:t>东</w:t>
      </w:r>
      <w:r>
        <w:rPr>
          <w:rFonts w:hint="eastAsia" w:ascii="方正大标宋_GBK" w:hAnsi="宋体" w:eastAsia="方正大标宋_GBK"/>
          <w:snapToGrid w:val="0"/>
          <w:color w:val="FF6565"/>
          <w:spacing w:val="360"/>
          <w:kern w:val="0"/>
          <w:sz w:val="72"/>
          <w:szCs w:val="72"/>
        </w:rPr>
        <w:t>省教育</w:t>
      </w:r>
      <w:r>
        <w:rPr>
          <w:rFonts w:hint="eastAsia" w:ascii="方正大标宋_GBK" w:hAnsi="宋体" w:eastAsia="方正大标宋_GBK"/>
          <w:snapToGrid w:val="0"/>
          <w:color w:val="FF6565"/>
          <w:spacing w:val="20"/>
          <w:kern w:val="0"/>
          <w:sz w:val="72"/>
          <w:szCs w:val="72"/>
        </w:rPr>
        <w:t>厅</w:t>
      </w:r>
      <w:r>
        <w:rPr>
          <w:rFonts w:hint="eastAsia" w:ascii="方正大标宋_GBK" w:hAnsi="宋体" w:eastAsia="方正大标宋_GBK"/>
          <w:snapToGrid w:val="0"/>
          <w:color w:val="FF6565"/>
          <w:spacing w:val="96"/>
          <w:kern w:val="0"/>
          <w:sz w:val="72"/>
          <w:szCs w:val="72"/>
        </w:rPr>
        <w:t>共青团广东省委员</w:t>
      </w:r>
      <w:r>
        <w:rPr>
          <w:rFonts w:hint="eastAsia" w:ascii="方正大标宋_GBK" w:hAnsi="宋体" w:eastAsia="方正大标宋_GBK"/>
          <w:snapToGrid w:val="0"/>
          <w:color w:val="FF6565"/>
          <w:spacing w:val="20"/>
          <w:kern w:val="0"/>
          <w:sz w:val="72"/>
          <w:szCs w:val="72"/>
        </w:rPr>
        <w:t>会</w:t>
      </w:r>
      <w:r>
        <w:rPr>
          <w:rFonts w:hint="eastAsia" w:ascii="方正大标宋_GBK" w:hAnsi="宋体" w:eastAsia="方正大标宋_GBK"/>
          <w:snapToGrid w:val="0"/>
          <w:color w:val="FF6565"/>
          <w:spacing w:val="42"/>
          <w:kern w:val="0"/>
          <w:sz w:val="72"/>
          <w:szCs w:val="72"/>
        </w:rPr>
        <w:t>广东省国防教育办公</w:t>
      </w:r>
      <w:r>
        <w:rPr>
          <w:rFonts w:hint="eastAsia" w:ascii="方正大标宋_GBK" w:hAnsi="宋体" w:eastAsia="方正大标宋_GBK"/>
          <w:snapToGrid w:val="0"/>
          <w:color w:val="FF6565"/>
          <w:kern w:val="0"/>
          <w:sz w:val="72"/>
          <w:szCs w:val="72"/>
        </w:rPr>
        <w:t>室</w:t>
      </w:r>
    </w:p>
    <w:p>
      <w:pPr>
        <w:keepNext w:val="0"/>
        <w:keepLines w:val="0"/>
        <w:pageBreakBefore w:val="0"/>
        <w:widowControl/>
        <w:kinsoku/>
        <w:wordWrap/>
        <w:overflowPunct/>
        <w:topLinePunct w:val="0"/>
        <w:autoSpaceDE/>
        <w:autoSpaceDN/>
        <w:bidi w:val="0"/>
        <w:adjustRightInd w:val="0"/>
        <w:snapToGrid w:val="0"/>
        <w:spacing w:after="0" w:line="400" w:lineRule="exact"/>
        <w:ind w:left="57" w:leftChars="0" w:right="153" w:rightChars="0" w:firstLine="34" w:firstLineChars="0"/>
        <w:contextualSpacing/>
        <w:jc w:val="center"/>
        <w:textAlignment w:val="auto"/>
        <w:outlineLvl w:val="9"/>
        <w:rPr>
          <w:rFonts w:hint="eastAsia" w:ascii="方正小标宋简体" w:hAnsi="方正小标宋简体" w:eastAsia="方正小标宋简体" w:cs="方正小标宋简体"/>
          <w:sz w:val="40"/>
          <w:szCs w:val="40"/>
          <w14:numForm w14:val="oldStyle"/>
          <w14:numSpacing w14:val="tabular"/>
        </w:rPr>
      </w:pPr>
      <w:r>
        <w:rPr>
          <w:rFonts w:hint="eastAsia" w:ascii="方正仿宋_GBK" w:hAnsi="方正仿宋_GBK" w:eastAsia="方正仿宋_GBK" w:cs="方正仿宋_GBK"/>
          <w:color w:val="auto"/>
          <w:sz w:val="28"/>
          <w:szCs w:val="28"/>
        </w:rPr>
        <w:t>粤宣通〔2017〕18号</w:t>
      </w:r>
      <w:bookmarkStart w:id="0" w:name="OLE_LINK3"/>
    </w:p>
    <w:p>
      <w:pPr>
        <w:keepNext w:val="0"/>
        <w:keepLines w:val="0"/>
        <w:pageBreakBefore w:val="0"/>
        <w:widowControl/>
        <w:kinsoku/>
        <w:wordWrap/>
        <w:overflowPunct/>
        <w:topLinePunct w:val="0"/>
        <w:autoSpaceDE w:val="0"/>
        <w:autoSpaceDN w:val="0"/>
        <w:bidi w:val="0"/>
        <w:adjustRightInd w:val="0"/>
        <w:snapToGrid w:val="0"/>
        <w:spacing w:before="100" w:beforeAutospacing="1" w:after="100" w:afterAutospacing="1" w:line="720" w:lineRule="exact"/>
        <w:ind w:left="1259" w:right="40" w:firstLine="420" w:firstLineChars="0"/>
        <w:contextualSpacing/>
        <w:jc w:val="left"/>
        <w:textAlignment w:val="baseline"/>
        <w:outlineLvl w:val="9"/>
        <w:rPr>
          <w:rFonts w:hint="eastAsia" w:ascii="方正小标宋简体" w:hAnsi="方正小标宋简体" w:eastAsia="方正小标宋简体" w:cs="方正小标宋简体"/>
          <w:sz w:val="40"/>
          <w:szCs w:val="40"/>
          <w14:numForm w14:val="oldStyle"/>
          <w14:numSpacing w14:val="tabular"/>
        </w:rPr>
      </w:pPr>
    </w:p>
    <w:p>
      <w:pPr>
        <w:keepNext w:val="0"/>
        <w:keepLines w:val="0"/>
        <w:pageBreakBefore w:val="0"/>
        <w:widowControl/>
        <w:kinsoku/>
        <w:wordWrap/>
        <w:overflowPunct/>
        <w:topLinePunct w:val="0"/>
        <w:autoSpaceDE w:val="0"/>
        <w:autoSpaceDN w:val="0"/>
        <w:bidi w:val="0"/>
        <w:adjustRightInd w:val="0"/>
        <w:snapToGrid w:val="0"/>
        <w:spacing w:before="100" w:beforeAutospacing="1" w:after="100" w:afterAutospacing="1" w:line="720" w:lineRule="exact"/>
        <w:ind w:left="1259" w:right="40" w:firstLine="420" w:firstLineChars="0"/>
        <w:contextualSpacing/>
        <w:jc w:val="left"/>
        <w:textAlignment w:val="baseline"/>
        <w:outlineLvl w:val="9"/>
        <w:rPr>
          <w:rFonts w:hint="eastAsia" w:ascii="方正小标宋简体" w:hAnsi="方正小标宋简体" w:eastAsia="方正小标宋简体" w:cs="方正小标宋简体"/>
          <w:sz w:val="40"/>
          <w:szCs w:val="40"/>
          <w14:numForm w14:val="oldStyle"/>
          <w14:numSpacing w14:val="tabular"/>
        </w:rPr>
      </w:pPr>
      <w:r>
        <w:rPr>
          <w:rFonts w:hint="eastAsia" w:ascii="方正小标宋简体" w:hAnsi="方正小标宋简体" w:eastAsia="方正小标宋简体" w:cs="方正小标宋简体"/>
          <w:sz w:val="40"/>
          <w:szCs w:val="40"/>
          <w14:numForm w14:val="oldStyle"/>
          <w14:numSpacing w14:val="tabular"/>
        </w:rPr>
        <w:t>关于组织举办广东省第五届</w:t>
      </w:r>
    </w:p>
    <w:p>
      <w:pPr>
        <w:keepNext w:val="0"/>
        <w:keepLines w:val="0"/>
        <w:pageBreakBefore w:val="0"/>
        <w:widowControl/>
        <w:kinsoku/>
        <w:wordWrap/>
        <w:overflowPunct/>
        <w:topLinePunct w:val="0"/>
        <w:autoSpaceDE w:val="0"/>
        <w:autoSpaceDN w:val="0"/>
        <w:bidi w:val="0"/>
        <w:adjustRightInd w:val="0"/>
        <w:snapToGrid w:val="0"/>
        <w:spacing w:before="100" w:beforeAutospacing="1" w:after="100" w:afterAutospacing="1" w:line="720" w:lineRule="exact"/>
        <w:ind w:left="858" w:leftChars="429" w:right="40" w:rightChars="20" w:firstLine="420" w:firstLineChars="0"/>
        <w:contextualSpacing/>
        <w:jc w:val="left"/>
        <w:textAlignment w:val="baseline"/>
        <w:outlineLvl w:val="9"/>
        <w:rPr>
          <w:rFonts w:hint="eastAsia" w:ascii="方正小标宋简体" w:hAnsi="方正小标宋简体" w:eastAsia="方正小标宋简体" w:cs="方正小标宋简体"/>
          <w:sz w:val="40"/>
          <w:szCs w:val="40"/>
          <w14:numForm w14:val="oldStyle"/>
          <w14:numSpacing w14:val="tabular"/>
        </w:rPr>
      </w:pPr>
      <w:r>
        <w:rPr>
          <w:rFonts w:hint="eastAsia" w:ascii="方正大标宋_GBK" w:hAnsi="宋体" w:eastAsia="方正大标宋_GBK"/>
          <w:color w:val="FF6565"/>
          <w:spacing w:val="88"/>
          <w:sz w:val="72"/>
          <w:szCs w:val="72"/>
        </w:rPr>
        <mc:AlternateContent>
          <mc:Choice Requires="wps">
            <w:drawing>
              <wp:anchor distT="0" distB="0" distL="114300" distR="114300" simplePos="0" relativeHeight="251661312" behindDoc="0" locked="0" layoutInCell="1" allowOverlap="1">
                <wp:simplePos x="0" y="0"/>
                <wp:positionH relativeFrom="margin">
                  <wp:posOffset>9525</wp:posOffset>
                </wp:positionH>
                <wp:positionV relativeFrom="page">
                  <wp:posOffset>4303395</wp:posOffset>
                </wp:positionV>
                <wp:extent cx="5229860" cy="3810"/>
                <wp:effectExtent l="0" t="0" r="0" b="0"/>
                <wp:wrapTopAndBottom/>
                <wp:docPr id="4" name="直接连接符 4"/>
                <wp:cNvGraphicFramePr/>
                <a:graphic xmlns:a="http://schemas.openxmlformats.org/drawingml/2006/main">
                  <a:graphicData uri="http://schemas.microsoft.com/office/word/2010/wordprocessingShape">
                    <wps:wsp>
                      <wps:cNvCnPr/>
                      <wps:spPr>
                        <a:xfrm flipV="1">
                          <a:off x="0" y="0"/>
                          <a:ext cx="5229860" cy="3810"/>
                        </a:xfrm>
                        <a:prstGeom prst="line">
                          <a:avLst/>
                        </a:prstGeom>
                        <a:ln>
                          <a:solidFill>
                            <a:srgbClr val="FF6565"/>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_x0000_s1026" o:spid="_x0000_s1026" o:spt="20" style="position:absolute;left:0pt;flip:y;margin-left:0.75pt;margin-top:338.85pt;height:0.3pt;width:411.8pt;mso-position-horizontal-relative:margin;mso-position-vertical-relative:page;mso-wrap-distance-bottom:0pt;mso-wrap-distance-top:0pt;z-index:251661312;mso-width-relative:page;mso-height-relative:page;" filled="f" stroked="t" coordsize="21600,21600" o:gfxdata="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Hh/n/9cAAAAJAQAADwAAAAAAAAAB&#10;ACAAAAAiAAAAZHJzL2Rvd25yZXYueG1sUEsBAhQAFAAAAAgAh07iQIM8XYjYAQAAcAMAAA4AAAAA&#10;AAAAAQAgAAAAJgEAAGRycy9lMm9Eb2MueG1sUEsFBgAAAAAGAAYAWQEAAHAFAAAAAA==&#10;">
                <v:fill on="f" focussize="0,0"/>
                <v:stroke weight="0.5pt" color="#FF6565 [3205]" miterlimit="8" joinstyle="miter"/>
                <v:imagedata o:title=""/>
                <o:lock v:ext="edit" aspectratio="f"/>
                <w10:wrap type="topAndBottom"/>
              </v:line>
            </w:pict>
          </mc:Fallback>
        </mc:AlternateContent>
      </w:r>
      <w:r>
        <w:rPr>
          <w:rFonts w:hint="eastAsia" w:ascii="方正小标宋简体" w:hAnsi="方正小标宋简体" w:eastAsia="方正小标宋简体" w:cs="方正小标宋简体"/>
          <w:sz w:val="40"/>
          <w:szCs w:val="40"/>
          <w14:numForm w14:val="oldStyle"/>
          <w14:numSpacing w14:val="tabular"/>
        </w:rPr>
        <w:t>“南粤长城杯"演讲比赛的通知</w:t>
      </w:r>
    </w:p>
    <w:p>
      <w:pPr>
        <w:keepNext w:val="0"/>
        <w:keepLines w:val="0"/>
        <w:pageBreakBefore w:val="0"/>
        <w:widowControl/>
        <w:kinsoku/>
        <w:wordWrap/>
        <w:overflowPunct/>
        <w:topLinePunct w:val="0"/>
        <w:autoSpaceDE/>
        <w:autoSpaceDN/>
        <w:bidi w:val="0"/>
        <w:adjustRightInd w:val="0"/>
        <w:snapToGrid w:val="0"/>
        <w:spacing w:after="0" w:line="560" w:lineRule="exact"/>
        <w:ind w:left="10" w:leftChars="0" w:right="0" w:rightChars="0" w:hangingChars="3"/>
        <w:contextualSpacing/>
        <w:jc w:val="both"/>
        <w:textAlignment w:val="auto"/>
        <w:outlineLvl w:val="9"/>
        <w:rPr>
          <w:rFonts w:hint="eastAsia" w:ascii="方正仿宋_GBK" w:hAnsi="方正仿宋_GBK" w:eastAsia="方正仿宋_GBK" w:cs="方正仿宋_GBK"/>
          <w:spacing w:val="24"/>
          <w:sz w:val="28"/>
          <w:szCs w:val="28"/>
        </w:rPr>
      </w:pPr>
      <w:r>
        <w:rPr>
          <w:rFonts w:hint="eastAsia" w:ascii="方正仿宋_GBK" w:hAnsi="方正仿宋_GBK" w:eastAsia="方正仿宋_GBK" w:cs="方正仿宋_GBK"/>
          <w:spacing w:val="24"/>
          <w:sz w:val="28"/>
          <w:szCs w:val="28"/>
        </w:rPr>
        <w:t>各地级以上市党委宣传部､教育局､团委､国防教育办公室:</w:t>
      </w:r>
    </w:p>
    <w:bookmarkEnd w:id="0"/>
    <w:p>
      <w:pPr>
        <w:keepNext w:val="0"/>
        <w:keepLines w:val="0"/>
        <w:pageBreakBefore w:val="0"/>
        <w:widowControl/>
        <w:kinsoku/>
        <w:wordWrap/>
        <w:overflowPunct/>
        <w:topLinePunct w:val="0"/>
        <w:autoSpaceDE/>
        <w:autoSpaceDN/>
        <w:bidi w:val="0"/>
        <w:adjustRightInd w:val="0"/>
        <w:snapToGrid w:val="0"/>
        <w:spacing w:after="0" w:line="560" w:lineRule="exact"/>
        <w:ind w:left="10" w:leftChars="0" w:right="0" w:rightChars="0" w:firstLine="652" w:firstLineChars="200"/>
        <w:contextualSpacing/>
        <w:jc w:val="both"/>
        <w:textAlignment w:val="auto"/>
        <w:outlineLvl w:val="9"/>
        <w:rPr>
          <w:rFonts w:hint="eastAsia" w:ascii="方正仿宋_GBK" w:hAnsi="方正仿宋_GBK" w:eastAsia="方正仿宋_GBK" w:cs="方正仿宋_GBK"/>
          <w:spacing w:val="28"/>
          <w:sz w:val="28"/>
          <w:szCs w:val="28"/>
        </w:rPr>
      </w:pPr>
      <w:r>
        <w:rPr>
          <w:rFonts w:hint="eastAsia" w:ascii="方正仿宋_GBK" w:hAnsi="方正仿宋_GBK" w:eastAsia="方正仿宋_GBK" w:cs="方正仿宋_GBK"/>
          <w:spacing w:val="28"/>
          <w:sz w:val="28"/>
          <w:szCs w:val="28"/>
        </w:rPr>
        <w:t>为</w:t>
      </w:r>
      <w:bookmarkStart w:id="1" w:name="OLE_LINK4"/>
      <w:bookmarkStart w:id="2" w:name="OLE_LINK5"/>
      <w:r>
        <w:rPr>
          <w:rFonts w:hint="eastAsia" w:ascii="方正仿宋_GBK" w:hAnsi="方正仿宋_GBK" w:eastAsia="方正仿宋_GBK" w:cs="方正仿宋_GBK"/>
          <w:spacing w:val="28"/>
          <w:sz w:val="28"/>
          <w:szCs w:val="28"/>
        </w:rPr>
        <w:t>纪念中国人民解放军建军90周年</w:t>
      </w:r>
      <w:bookmarkEnd w:id="1"/>
      <w:bookmarkEnd w:id="2"/>
      <w:r>
        <w:rPr>
          <w:rFonts w:hint="eastAsia" w:ascii="方正仿宋_GBK" w:hAnsi="方正仿宋_GBK" w:eastAsia="方正仿宋_GBK" w:cs="方正仿宋_GBK"/>
          <w:spacing w:val="28"/>
          <w:sz w:val="28"/>
          <w:szCs w:val="28"/>
        </w:rPr>
        <w:t>,省委宣传部､省教育厅､共青团广东省委员会､省国防教育办公室定于5—— 7月联合组织举办广东省第五届“南粤长城杯"演讲比赛｡现将《广东省第五届“南粤长城杯"演讲比赛实施方案》印发你们,请认真组织实施｡</w:t>
      </w:r>
    </w:p>
    <w:p>
      <w:pPr>
        <w:adjustRightInd w:val="0"/>
        <w:snapToGrid w:val="0"/>
        <w:spacing w:after="0" w:line="216" w:lineRule="auto"/>
        <w:ind w:left="8" w:right="0" w:hanging="8" w:hangingChars="3"/>
        <w:contextualSpacing/>
        <w:rPr>
          <w:rFonts w:ascii="宋体" w:hAnsi="宋体" w:eastAsia="宋体"/>
          <w:sz w:val="28"/>
        </w:rPr>
      </w:pPr>
      <w:r>
        <w:rPr>
          <w:rFonts w:hint="eastAsia" w:ascii="宋体" w:hAnsi="宋体" w:eastAsia="宋体"/>
          <w:sz w:val="28"/>
        </w:rPr>
        <w:drawing>
          <wp:inline distT="0" distB="0" distL="0" distR="0">
            <wp:extent cx="5274310" cy="2059940"/>
            <wp:effectExtent l="0" t="0" r="2540" b="165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74310" cy="2059940"/>
                    </a:xfrm>
                    <a:prstGeom prst="rect">
                      <a:avLst/>
                    </a:prstGeom>
                  </pic:spPr>
                </pic:pic>
              </a:graphicData>
            </a:graphic>
          </wp:inline>
        </w:drawing>
      </w:r>
    </w:p>
    <w:p>
      <w:pPr>
        <w:adjustRightInd w:val="0"/>
        <w:snapToGrid w:val="0"/>
        <w:spacing w:after="0" w:line="216" w:lineRule="auto"/>
        <w:ind w:left="0" w:right="0" w:firstLine="0"/>
        <w:contextualSpacing/>
        <w:rPr>
          <w:rFonts w:ascii="宋体" w:hAnsi="宋体" w:eastAsia="宋体"/>
          <w:sz w:val="28"/>
        </w:rPr>
      </w:pPr>
      <w:r>
        <w:rPr>
          <w:rFonts w:ascii="宋体" w:hAnsi="宋体" w:eastAsia="宋体"/>
          <w:sz w:val="28"/>
        </w:rPr>
        <w:drawing>
          <wp:inline distT="0" distB="0" distL="0" distR="0">
            <wp:extent cx="5274310" cy="181610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1816100"/>
                    </a:xfrm>
                    <a:prstGeom prst="rect">
                      <a:avLst/>
                    </a:prstGeom>
                  </pic:spPr>
                </pic:pic>
              </a:graphicData>
            </a:graphic>
          </wp:inline>
        </w:drawing>
      </w: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keepNext w:val="0"/>
        <w:keepLines w:val="0"/>
        <w:pageBreakBefore w:val="0"/>
        <w:widowControl/>
        <w:kinsoku/>
        <w:wordWrap/>
        <w:overflowPunct/>
        <w:topLinePunct w:val="0"/>
        <w:autoSpaceDE/>
        <w:autoSpaceDN/>
        <w:bidi w:val="0"/>
        <w:adjustRightInd w:val="0"/>
        <w:snapToGrid w:val="0"/>
        <w:spacing w:after="0" w:line="720" w:lineRule="exact"/>
        <w:ind w:left="-5" w:leftChars="0" w:right="0" w:rightChars="0" w:hanging="10" w:firstLineChars="0"/>
        <w:contextualSpacing/>
        <w:jc w:val="center"/>
        <w:textAlignment w:val="auto"/>
        <w:outlineLvl w:val="9"/>
        <w:rPr>
          <w:rFonts w:hint="eastAsia" w:ascii="方正小标宋简体" w:hAnsi="方正小标宋简体" w:eastAsia="方正小标宋简体" w:cs="方正小标宋简体"/>
          <w:sz w:val="48"/>
          <w:szCs w:val="40"/>
        </w:rPr>
      </w:pPr>
      <w:r>
        <w:rPr>
          <w:rFonts w:hint="eastAsia" w:ascii="方正小标宋简体" w:hAnsi="方正小标宋简体" w:eastAsia="方正小标宋简体" w:cs="方正小标宋简体"/>
          <w:sz w:val="48"/>
          <w:szCs w:val="40"/>
        </w:rPr>
        <w:t xml:space="preserve">广东省第五届“南粤长城杯" </w:t>
      </w:r>
    </w:p>
    <w:p>
      <w:pPr>
        <w:keepNext w:val="0"/>
        <w:keepLines w:val="0"/>
        <w:pageBreakBefore w:val="0"/>
        <w:widowControl/>
        <w:kinsoku/>
        <w:wordWrap/>
        <w:overflowPunct/>
        <w:topLinePunct w:val="0"/>
        <w:autoSpaceDE/>
        <w:autoSpaceDN/>
        <w:bidi w:val="0"/>
        <w:adjustRightInd w:val="0"/>
        <w:snapToGrid w:val="0"/>
        <w:spacing w:after="0" w:line="720" w:lineRule="exact"/>
        <w:ind w:left="-5" w:leftChars="0" w:right="0" w:rightChars="0" w:hanging="10" w:firstLineChars="0"/>
        <w:contextualSpacing/>
        <w:jc w:val="center"/>
        <w:textAlignment w:val="auto"/>
        <w:outlineLvl w:val="9"/>
        <w:rPr>
          <w:rFonts w:hint="eastAsia" w:ascii="方正小标宋简体" w:hAnsi="方正小标宋简体" w:eastAsia="方正小标宋简体" w:cs="方正小标宋简体"/>
          <w:sz w:val="48"/>
          <w:szCs w:val="40"/>
        </w:rPr>
      </w:pPr>
      <w:r>
        <w:rPr>
          <w:rFonts w:hint="eastAsia" w:ascii="方正小标宋简体" w:hAnsi="方正小标宋简体" w:eastAsia="方正小标宋简体" w:cs="方正小标宋简体"/>
          <w:sz w:val="48"/>
          <w:szCs w:val="40"/>
        </w:rPr>
        <w:t>演讲比赛实施方案</w:t>
      </w:r>
    </w:p>
    <w:p>
      <w:pPr>
        <w:adjustRightInd w:val="0"/>
        <w:snapToGrid w:val="0"/>
        <w:spacing w:after="0" w:line="216" w:lineRule="auto"/>
        <w:ind w:left="0" w:right="0" w:firstLine="0"/>
        <w:contextualSpacing/>
        <w:rPr>
          <w:sz w:val="28"/>
        </w:rPr>
      </w:pP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700" w:firstLineChars="250"/>
        <w:contextualSpacing/>
        <w:jc w:val="left"/>
        <w:textAlignment w:val="auto"/>
        <w:outlineLvl w:val="9"/>
        <w:rPr>
          <w:rFonts w:hint="eastAsia" w:ascii="方正黑体_GBK" w:hAnsi="方正黑体_GBK" w:eastAsia="方正黑体_GBK" w:cs="方正黑体_GBK"/>
          <w:b/>
          <w:bCs/>
          <w:color w:val="auto"/>
          <w:spacing w:val="28"/>
          <w:sz w:val="32"/>
          <w:szCs w:val="32"/>
        </w:rPr>
      </w:pPr>
      <w:r>
        <w:rPr>
          <w:rFonts w:hint="eastAsia" w:ascii="方正黑体_GBK" w:hAnsi="方正黑体_GBK" w:eastAsia="方正黑体_GBK" w:cs="方正黑体_GBK"/>
          <w:b/>
          <w:bCs/>
          <w:color w:val="auto"/>
          <w:sz w:val="32"/>
          <w:szCs w:val="32"/>
        </w:rPr>
        <w:t>一 、指</w:t>
      </w:r>
      <w:r>
        <w:rPr>
          <w:rFonts w:hint="eastAsia" w:ascii="方正黑体_GBK" w:hAnsi="方正黑体_GBK" w:eastAsia="方正黑体_GBK" w:cs="方正黑体_GBK"/>
          <w:b/>
          <w:bCs/>
          <w:color w:val="auto"/>
          <w:spacing w:val="28"/>
          <w:sz w:val="32"/>
          <w:szCs w:val="32"/>
        </w:rPr>
        <w:t>导思想</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全面贯彻落实党的十八大和十八届三中、四中、五中、六中全会以及习近平总书记关于国防和军队建设系列重要讲话精神，纪念中国人民解放军建军90周年，着眼军民融合深度发展战略和立德树人根本任务，通过群众喜闻乐见的演讲形式，激发广大干部群众和青少年学生爱党爱国爱军爱社会主义热情，赓续红色基因，进一步营造军爱民、民拥军的良好社会氛围，支持改革强军，为实现中华民族伟大复兴的中国梦汇聚起强大的精神力量。</w:t>
      </w: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700" w:firstLineChars="250"/>
        <w:contextualSpacing/>
        <w:jc w:val="left"/>
        <w:textAlignment w:val="auto"/>
        <w:outlineLvl w:val="9"/>
        <w:rPr>
          <w:rFonts w:hint="eastAsia" w:ascii="方正黑体_GBK" w:hAnsi="方正黑体_GBK" w:eastAsia="方正黑体_GBK" w:cs="方正黑体_GBK"/>
          <w:b/>
          <w:bCs/>
          <w:color w:val="auto"/>
          <w:sz w:val="32"/>
          <w:szCs w:val="32"/>
        </w:rPr>
      </w:pPr>
      <w:r>
        <w:rPr>
          <w:rFonts w:hint="eastAsia" w:ascii="方正黑体_GBK" w:hAnsi="方正黑体_GBK" w:eastAsia="方正黑体_GBK" w:cs="方正黑体_GBK"/>
          <w:b/>
          <w:bCs/>
          <w:color w:val="auto"/>
          <w:sz w:val="32"/>
          <w:szCs w:val="32"/>
        </w:rPr>
        <w:t>二、主题内容</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围绕“中国梦强军梦"主题，大力宣传中国人民解放军90年来走过的光辉历程和取得的辉煌成就，大力宣传中国人民解放军听党指挥、服务人民、英勇善战的优良传统，大力宣传新形势下改革强军的伟大进程。</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演讲内容要求导向正确、立场坚定，内容丰富、观点新颖，感情真挚、贴近生活。演讲中，要紧密结合个人学习工作生活实际和当地社会经济发展实践，深入挖掘自己和身边真实的典型故事作为素材，做到有事、有理、有据、有情、有感。</w:t>
      </w: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700" w:firstLineChars="250"/>
        <w:contextualSpacing/>
        <w:jc w:val="left"/>
        <w:textAlignment w:val="auto"/>
        <w:outlineLvl w:val="9"/>
        <w:rPr>
          <w:rFonts w:hint="eastAsia" w:ascii="方正黑体_GBK" w:hAnsi="方正黑体_GBK" w:eastAsia="方正黑体_GBK" w:cs="方正黑体_GBK"/>
          <w:b/>
          <w:bCs/>
          <w:color w:val="auto"/>
          <w:sz w:val="32"/>
          <w:szCs w:val="32"/>
        </w:rPr>
      </w:pPr>
      <w:r>
        <w:rPr>
          <w:rFonts w:hint="eastAsia" w:ascii="方正黑体_GBK" w:hAnsi="方正黑体_GBK" w:eastAsia="方正黑体_GBK" w:cs="方正黑体_GBK"/>
          <w:b/>
          <w:bCs/>
          <w:color w:val="auto"/>
          <w:sz w:val="32"/>
          <w:szCs w:val="32"/>
        </w:rPr>
        <w:t>三、参赛对象</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（一）全省普通高校、中学在校学生</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（二）分2个组别：中学组、大学组。</w:t>
      </w: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700" w:firstLineChars="250"/>
        <w:contextualSpacing/>
        <w:jc w:val="left"/>
        <w:textAlignment w:val="auto"/>
        <w:outlineLvl w:val="9"/>
        <w:rPr>
          <w:rFonts w:hint="eastAsia" w:ascii="方正黑体_GBK" w:hAnsi="方正黑体_GBK" w:eastAsia="方正黑体_GBK" w:cs="方正黑体_GBK"/>
          <w:b/>
          <w:bCs/>
          <w:color w:val="auto"/>
          <w:sz w:val="32"/>
          <w:szCs w:val="32"/>
        </w:rPr>
      </w:pPr>
      <w:r>
        <w:rPr>
          <w:rFonts w:hint="eastAsia" w:ascii="方正黑体_GBK" w:hAnsi="方正黑体_GBK" w:eastAsia="方正黑体_GBK" w:cs="方正黑体_GBK"/>
          <w:b/>
          <w:bCs/>
          <w:color w:val="auto"/>
          <w:sz w:val="32"/>
          <w:szCs w:val="32"/>
        </w:rPr>
        <w:t>四、组织机构</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主办：省委宣传部、省教育厅、团省委、省国防教育办公室</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承办：广东演讲学会</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成立省比赛组委会，人员构成与分工见附件1。</w:t>
      </w: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700" w:firstLineChars="250"/>
        <w:contextualSpacing/>
        <w:jc w:val="left"/>
        <w:textAlignment w:val="auto"/>
        <w:outlineLvl w:val="9"/>
        <w:rPr>
          <w:rFonts w:hint="eastAsia" w:ascii="方正黑体_GBK" w:hAnsi="方正黑体_GBK" w:eastAsia="方正黑体_GBK" w:cs="方正黑体_GBK"/>
          <w:b/>
          <w:bCs/>
          <w:color w:val="auto"/>
          <w:sz w:val="32"/>
          <w:szCs w:val="32"/>
        </w:rPr>
      </w:pPr>
      <w:r>
        <w:rPr>
          <w:rFonts w:hint="eastAsia" w:ascii="方正黑体_GBK" w:hAnsi="方正黑体_GBK" w:eastAsia="方正黑体_GBK" w:cs="方正黑体_GBK"/>
          <w:b/>
          <w:bCs/>
          <w:color w:val="auto"/>
          <w:sz w:val="32"/>
          <w:szCs w:val="32"/>
        </w:rPr>
        <w:t>五、实施步骤</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一）初赛：5月10日至6月30日。主办单位采取印发、转发实施方案、内外网通知等多种方式进行广泛宣传，及时将比赛方案发至全省各地级以上市，省比赛组委会还将在南方网、团省委网站等发布《实施方案》，有关单位和个人可登陆下载。</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大学组由团省委负责组织协调各高校（含民办高校）团委做好比赛有关组织工作，各高校团委选送1至3名优秀选手。</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中学组由省教育厅负责协调各市教育行政部门做好比赛有关组织工作，指导各市可根据实际组织形式多样的比赛活动，各市选送2至3名（广州、深圳不超过5名）优秀选手。</w:t>
      </w:r>
    </w:p>
    <w:p>
      <w:pPr>
        <w:keepNext w:val="0"/>
        <w:keepLines w:val="0"/>
        <w:pageBreakBefore w:val="0"/>
        <w:widowControl/>
        <w:kinsoku/>
        <w:wordWrap/>
        <w:overflowPunct/>
        <w:topLinePunct w:val="0"/>
        <w:autoSpaceDE/>
        <w:autoSpaceDN/>
        <w:bidi w:val="0"/>
        <w:adjustRightInd w:val="0"/>
        <w:snapToGrid w:val="0"/>
        <w:spacing w:after="0" w:line="560" w:lineRule="exact"/>
        <w:ind w:left="-15" w:right="0" w:rightChars="0" w:firstLine="672" w:firstLineChars="200"/>
        <w:contextualSpacing/>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初赛所有报名选手资料请于6月30日前按报名表（附件3）要求通过电子邮件或邮寄方式（刻录光盘或U盘存储）报送。报名资料包括：选手300秒以内命题演讲视频和演讲稿、各地各单位组织工作花絮视频、开展选拨工作情况、报名表电子版等，报送文件名请注明组别、单位和姓名。联系人：张老师020-83825505/ 18529115820，刘老师15626268705，报送邮箱gdspeech@ 163.com，邮寄地址：广州市中山三路荣华北20-3号大东园广东演讲学会。邮政编码：510080。初赛期间，主办单位将组织人员赴各市、高校跟踪指导赛事进展情况，开展培训指导和公益演讲活动。</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504" w:firstLineChars="1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（二）复赛：7月1日至7月20日。期间，广东演讲学会对2个组别选手资料进行整理、分类和确认。7月20 日前，由比赛评委会组织评委、监审公开对参赛选手视频进行集中评审，评出中学生组30强、大学生组30强，经主办方审核，通知各地各单位及参加复赛选手。</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504" w:firstLineChars="1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 xml:space="preserve">（三）决赛：7月22日至23日。在广州举行决赛，中学生组直接进行决赛评出名次。大学生组决赛中首先通过现场命题演讲方式，每人演讲时间不超过300秒，角逐出大学兰组10强；然后，设即兴演讲、命题汇报演讲、知识问答、大众评审等环节决出各等奖选手。即兴演讲采取现场抽题方式进行，每人演讲时间不超过150秒；知识问答以评委现场提问方式进行，答问时间不超过90秒，提问内容参考《中国人民解放军简史》。 </w:t>
      </w: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700" w:firstLineChars="250"/>
        <w:contextualSpacing/>
        <w:jc w:val="left"/>
        <w:textAlignment w:val="auto"/>
        <w:outlineLvl w:val="9"/>
        <w:rPr>
          <w:rFonts w:hint="eastAsia" w:ascii="方正黑体_GBK" w:hAnsi="方正黑体_GBK" w:eastAsia="方正黑体_GBK" w:cs="方正黑体_GBK"/>
          <w:b/>
          <w:bCs/>
          <w:color w:val="auto"/>
          <w:sz w:val="32"/>
          <w:szCs w:val="32"/>
        </w:rPr>
      </w:pPr>
      <w:r>
        <w:rPr>
          <w:rFonts w:hint="eastAsia" w:ascii="方正黑体_GBK" w:hAnsi="方正黑体_GBK" w:eastAsia="方正黑体_GBK" w:cs="方正黑体_GBK"/>
          <w:b/>
          <w:bCs/>
          <w:color w:val="auto"/>
          <w:sz w:val="32"/>
          <w:szCs w:val="32"/>
        </w:rPr>
        <w:t>六、有关要求</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（一）组织到位。各地各单位要高度重视，严密组织，可参照省的做法成立组委会，为活动顺利开展提供有力保障。</w:t>
      </w:r>
    </w:p>
    <w:p>
      <w:pPr>
        <w:keepNext w:val="0"/>
        <w:keepLines w:val="0"/>
        <w:pageBreakBefore w:val="0"/>
        <w:widowControl/>
        <w:kinsoku/>
        <w:wordWrap/>
        <w:overflowPunct/>
        <w:topLinePunct w:val="0"/>
        <w:autoSpaceDE/>
        <w:autoSpaceDN/>
        <w:bidi w:val="0"/>
        <w:adjustRightInd w:val="0"/>
        <w:snapToGrid w:val="0"/>
        <w:spacing w:after="0" w:line="560" w:lineRule="exact"/>
        <w:ind w:left="-6" w:right="0" w:rightChars="0" w:firstLine="672" w:firstLineChars="200"/>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 xml:space="preserve">（二）形成合力。各地各级宣传、教育、共青团、国防教育办公室等部门要加强沟通协调，相互支持配合，按照分工抓好落实。各地国防教育办公室、教育部门、各高校要协调安排专人负责，确保比赛有序推进、顺利完成。               </w:t>
      </w:r>
    </w:p>
    <w:p>
      <w:pPr>
        <w:keepNext w:val="0"/>
        <w:keepLines w:val="0"/>
        <w:pageBreakBefore w:val="0"/>
        <w:widowControl/>
        <w:kinsoku/>
        <w:wordWrap/>
        <w:overflowPunct/>
        <w:topLinePunct w:val="0"/>
        <w:autoSpaceDE/>
        <w:autoSpaceDN/>
        <w:bidi w:val="0"/>
        <w:adjustRightInd w:val="0"/>
        <w:snapToGrid w:val="0"/>
        <w:spacing w:after="0" w:line="560" w:lineRule="exact"/>
        <w:ind w:left="-6" w:right="0" w:rightChars="0" w:firstLine="672" w:firstLineChars="200"/>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（三）</w:t>
      </w:r>
      <w:r>
        <w:rPr>
          <w:rFonts w:hint="eastAsia" w:ascii="方正仿宋_GBK" w:hAnsi="方正仿宋_GBK" w:eastAsia="方正仿宋_GBK" w:cs="方正仿宋_GBK"/>
          <w:color w:val="auto"/>
          <w:spacing w:val="28"/>
          <w:sz w:val="32"/>
          <w:szCs w:val="32"/>
        </w:rPr>
        <w:tab/>
      </w:r>
      <w:r>
        <w:rPr>
          <w:rFonts w:hint="eastAsia" w:ascii="方正仿宋_GBK" w:hAnsi="方正仿宋_GBK" w:eastAsia="方正仿宋_GBK" w:cs="方正仿宋_GBK"/>
          <w:color w:val="auto"/>
          <w:spacing w:val="28"/>
          <w:sz w:val="32"/>
          <w:szCs w:val="32"/>
        </w:rPr>
        <w:t>广泛宣传。宣传、教育、团委要根据《实施方案》要求，采取多种形式广泛宣传发动，增强在校学生参赛的主动性、和极性，并牵头抓好赛事有关工作落实。</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（四）评比表彰。个人奖：特等奖2名（每组1名），一等奖4名（每组2名），二等奖6名（每组3名），三等奖 8名（每组4名），优秀奖20名（每组10名）。优秀组织奖、优秀指导老师奖若干名。</w:t>
      </w:r>
    </w:p>
    <w:p>
      <w:pPr>
        <w:keepNext w:val="0"/>
        <w:keepLines w:val="0"/>
        <w:pageBreakBefore w:val="0"/>
        <w:widowControl/>
        <w:kinsoku/>
        <w:wordWrap/>
        <w:overflowPunct/>
        <w:topLinePunct w:val="0"/>
        <w:autoSpaceDE/>
        <w:autoSpaceDN/>
        <w:bidi w:val="0"/>
        <w:adjustRightInd w:val="0"/>
        <w:snapToGrid w:val="0"/>
        <w:spacing w:after="0" w:line="560" w:lineRule="exact"/>
        <w:ind w:left="-1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（二）</w:t>
      </w:r>
      <w:r>
        <w:rPr>
          <w:rFonts w:hint="eastAsia" w:ascii="方正仿宋_GBK" w:hAnsi="方正仿宋_GBK" w:eastAsia="方正仿宋_GBK" w:cs="方正仿宋_GBK"/>
          <w:color w:val="auto"/>
          <w:spacing w:val="28"/>
          <w:sz w:val="32"/>
          <w:szCs w:val="32"/>
        </w:rPr>
        <w:tab/>
      </w:r>
      <w:r>
        <w:rPr>
          <w:rFonts w:hint="eastAsia" w:ascii="方正仿宋_GBK" w:hAnsi="方正仿宋_GBK" w:eastAsia="方正仿宋_GBK" w:cs="方正仿宋_GBK"/>
          <w:color w:val="auto"/>
          <w:spacing w:val="28"/>
          <w:sz w:val="32"/>
          <w:szCs w:val="32"/>
        </w:rPr>
        <w:t>参赛费用。参赛选手一律不需交纳报名费。决赛期间，参赛选手和领队由组委会安排食宿。</w:t>
      </w: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联系人：</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1.省国防教育办公室</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陈英闻，电话：020-87195363、13688885688</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罗俊林，电话：020-87185242、18823087631</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2.省教育厅</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 xml:space="preserve">董业权，电话：020-37627562、135703653993 </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3.省团委</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丘明祺，电话：020-87185614、158000265294</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4.广东演讲学会</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孙朝阳，电话：020-83821873、13602490288</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840" w:firstLineChars="2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 xml:space="preserve">附件：1.省比赛组委会人员构成与分工 </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1848" w:firstLineChars="5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2.演讲比赛评分标准</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1848" w:firstLineChars="5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3.广东省第五届“南粤长城杯"演讲比赛报名表</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0" w:right="0" w:rightChars="0" w:firstLine="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left"/>
        <w:textAlignment w:val="auto"/>
        <w:outlineLvl w:val="9"/>
        <w:rPr>
          <w:rFonts w:hint="eastAsia" w:ascii="方正黑体_GBK" w:hAnsi="方正黑体_GBK" w:eastAsia="方正黑体_GBK" w:cs="方正黑体_GBK"/>
          <w:color w:val="auto"/>
          <w:spacing w:val="28"/>
          <w:sz w:val="32"/>
          <w:szCs w:val="32"/>
        </w:rPr>
      </w:pPr>
      <w:r>
        <w:rPr>
          <w:rFonts w:hint="eastAsia" w:ascii="方正黑体_GBK" w:hAnsi="方正黑体_GBK" w:eastAsia="方正黑体_GBK" w:cs="方正黑体_GBK"/>
          <w:color w:val="auto"/>
          <w:spacing w:val="28"/>
          <w:sz w:val="32"/>
          <w:szCs w:val="32"/>
        </w:rPr>
        <w:t>附件1</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center"/>
        <w:textAlignment w:val="auto"/>
        <w:outlineLvl w:val="9"/>
        <w:rPr>
          <w:rFonts w:hint="eastAsia" w:ascii="方正小标宋简体" w:hAnsi="方正小标宋简体" w:eastAsia="方正小标宋简体" w:cs="方正小标宋简体"/>
          <w:color w:val="auto"/>
          <w:spacing w:val="28"/>
          <w:sz w:val="44"/>
          <w:szCs w:val="44"/>
        </w:rPr>
      </w:pPr>
      <w:r>
        <w:rPr>
          <w:rFonts w:hint="eastAsia" w:ascii="方正小标宋简体" w:hAnsi="方正小标宋简体" w:eastAsia="方正小标宋简体" w:cs="方正小标宋简体"/>
          <w:color w:val="auto"/>
          <w:spacing w:val="28"/>
          <w:sz w:val="44"/>
          <w:szCs w:val="44"/>
        </w:rPr>
        <w:t>比赛组委会人员构成与分工</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center"/>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3192" w:right="0" w:rightChars="0" w:hanging="3192" w:hangingChars="95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主  任：</w:t>
      </w:r>
      <w:r>
        <w:rPr>
          <w:rFonts w:hint="eastAsia" w:ascii="方正仿宋_GBK" w:hAnsi="方正仿宋_GBK" w:eastAsia="方正仿宋_GBK" w:cs="方正仿宋_GBK"/>
          <w:color w:val="auto"/>
          <w:spacing w:val="28"/>
          <w:sz w:val="32"/>
          <w:szCs w:val="32"/>
        </w:rPr>
        <w:t>顾作义    省委宣传部巡视员、省文明办主任、省国防教育办主任</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副主任：</w:t>
      </w:r>
      <w:r>
        <w:rPr>
          <w:rFonts w:hint="eastAsia" w:ascii="方正仿宋_GBK" w:hAnsi="方正仿宋_GBK" w:eastAsia="方正仿宋_GBK" w:cs="方正仿宋_GBK"/>
          <w:color w:val="auto"/>
          <w:spacing w:val="28"/>
          <w:sz w:val="32"/>
          <w:szCs w:val="32"/>
        </w:rPr>
        <w:t>陈  健    省教育厅副巡视员</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1344" w:firstLineChars="4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梁均达    团省委副书记</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委  员：</w:t>
      </w:r>
      <w:r>
        <w:rPr>
          <w:rFonts w:hint="eastAsia" w:ascii="方正仿宋_GBK" w:hAnsi="方正仿宋_GBK" w:eastAsia="方正仿宋_GBK" w:cs="方正仿宋_GBK"/>
          <w:color w:val="auto"/>
          <w:spacing w:val="28"/>
          <w:sz w:val="32"/>
          <w:szCs w:val="32"/>
        </w:rPr>
        <w:t>石雄东    省委宣传部宣教处处长</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1344" w:firstLineChars="4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陈英闻    省委宣传部宣教处调研员</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1344" w:firstLineChars="4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董业权    省教育厅体卫艺处副调研员</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1344" w:firstLineChars="4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丘明祺    团省委学校部副部长</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1344" w:firstLineChars="4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孙朝阳    广东演讲学会会长</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秘书长：</w:t>
      </w:r>
      <w:r>
        <w:rPr>
          <w:rFonts w:hint="eastAsia" w:ascii="方正仿宋_GBK" w:hAnsi="方正仿宋_GBK" w:eastAsia="方正仿宋_GBK" w:cs="方正仿宋_GBK"/>
          <w:color w:val="auto"/>
          <w:spacing w:val="28"/>
          <w:sz w:val="32"/>
          <w:szCs w:val="32"/>
        </w:rPr>
        <w:t xml:space="preserve">石雄东 </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副秘书长：</w:t>
      </w:r>
      <w:r>
        <w:rPr>
          <w:rFonts w:hint="eastAsia" w:ascii="方正仿宋_GBK" w:hAnsi="方正仿宋_GBK" w:eastAsia="方正仿宋_GBK" w:cs="方正仿宋_GBK"/>
          <w:color w:val="auto"/>
          <w:spacing w:val="28"/>
          <w:sz w:val="32"/>
          <w:szCs w:val="32"/>
        </w:rPr>
        <w:t>陈英闻、董业权、丘明祺、孙朝阳、罗俊林</w:t>
      </w:r>
    </w:p>
    <w:p>
      <w:pPr>
        <w:keepNext w:val="0"/>
        <w:keepLines w:val="0"/>
        <w:pageBreakBefore w:val="0"/>
        <w:widowControl/>
        <w:kinsoku/>
        <w:wordWrap/>
        <w:overflowPunct/>
        <w:topLinePunct w:val="0"/>
        <w:autoSpaceDE/>
        <w:autoSpaceDN/>
        <w:bidi w:val="0"/>
        <w:adjustRightInd w:val="0"/>
        <w:snapToGrid w:val="0"/>
        <w:spacing w:after="0" w:line="560" w:lineRule="exact"/>
        <w:ind w:left="3192" w:right="0" w:rightChars="0" w:hanging="3192" w:hangingChars="950"/>
        <w:contextualSpacing/>
        <w:jc w:val="center"/>
        <w:textAlignment w:val="auto"/>
        <w:outlineLvl w:val="9"/>
        <w:rPr>
          <w:rFonts w:hint="eastAsia" w:ascii="方正黑体_GBK" w:hAnsi="方正黑体_GBK" w:eastAsia="方正黑体_GBK" w:cs="方正黑体_GBK"/>
          <w:color w:val="auto"/>
          <w:spacing w:val="28"/>
          <w:sz w:val="32"/>
          <w:szCs w:val="32"/>
        </w:rPr>
      </w:pPr>
      <w:r>
        <w:rPr>
          <w:rFonts w:hint="eastAsia" w:ascii="方正黑体_GBK" w:hAnsi="方正黑体_GBK" w:eastAsia="方正黑体_GBK" w:cs="方正黑体_GBK"/>
          <w:color w:val="auto"/>
          <w:spacing w:val="28"/>
          <w:sz w:val="32"/>
          <w:szCs w:val="32"/>
        </w:rPr>
        <w:t>职责分工</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比赛组委会：</w:t>
      </w:r>
      <w:r>
        <w:rPr>
          <w:rFonts w:hint="eastAsia" w:ascii="方正仿宋_GBK" w:hAnsi="方正仿宋_GBK" w:eastAsia="方正仿宋_GBK" w:cs="方正仿宋_GBK"/>
          <w:color w:val="auto"/>
          <w:spacing w:val="28"/>
          <w:sz w:val="32"/>
          <w:szCs w:val="32"/>
        </w:rPr>
        <w:t>活动的总指挥。审定活动方案、宣传内容、比赛规则、评分标准、优秀组织奖等。</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省委宣传部、省国防教育办公室：</w:t>
      </w:r>
      <w:r>
        <w:rPr>
          <w:rFonts w:hint="eastAsia" w:ascii="方正仿宋_GBK" w:hAnsi="方正仿宋_GBK" w:eastAsia="方正仿宋_GBK" w:cs="方正仿宋_GBK"/>
          <w:color w:val="auto"/>
          <w:spacing w:val="28"/>
          <w:sz w:val="32"/>
          <w:szCs w:val="32"/>
        </w:rPr>
        <w:t>活动的总协调。组织媒体宣传报道等。</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省教育厅：</w:t>
      </w:r>
      <w:r>
        <w:rPr>
          <w:rFonts w:hint="eastAsia" w:ascii="方正仿宋_GBK" w:hAnsi="方正仿宋_GBK" w:eastAsia="方正仿宋_GBK" w:cs="方正仿宋_GBK"/>
          <w:color w:val="auto"/>
          <w:spacing w:val="28"/>
          <w:sz w:val="32"/>
          <w:szCs w:val="32"/>
        </w:rPr>
        <w:t>广泛发动中学师生参与赛事活动，检查各地赛事进展情况，指导学校开展比赛，督促各级教育行政部门和学校做好比赛的组织和保障工作。</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团省委：</w:t>
      </w:r>
      <w:r>
        <w:rPr>
          <w:rFonts w:hint="eastAsia" w:ascii="方正仿宋_GBK" w:hAnsi="方正仿宋_GBK" w:eastAsia="方正仿宋_GBK" w:cs="方正仿宋_GBK"/>
          <w:color w:val="auto"/>
          <w:spacing w:val="28"/>
          <w:sz w:val="32"/>
          <w:szCs w:val="32"/>
        </w:rPr>
        <w:t>协调、指导各市和高校团委积极开展宣传动员，组织好初赛，及时掌握各高校赛事开展情况。</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黑体_GBK" w:hAnsi="方正黑体_GBK" w:eastAsia="方正黑体_GBK" w:cs="方正黑体_GBK"/>
          <w:color w:val="auto"/>
          <w:spacing w:val="28"/>
          <w:sz w:val="32"/>
          <w:szCs w:val="32"/>
        </w:rPr>
        <w:t>广东演讲学会：</w:t>
      </w:r>
      <w:r>
        <w:rPr>
          <w:rFonts w:hint="eastAsia" w:ascii="方正仿宋_GBK" w:hAnsi="方正仿宋_GBK" w:eastAsia="方正仿宋_GBK" w:cs="方正仿宋_GBK"/>
          <w:color w:val="auto"/>
          <w:spacing w:val="28"/>
          <w:sz w:val="32"/>
          <w:szCs w:val="32"/>
        </w:rPr>
        <w:t>作为承办单位，协调各市演讲专业机构全程参与，为各地初赛活动提供专业服务和指导；深入各地各高校、中学宣传发动，跟进报名情况，做好参赛选手、嘉宾、评委和工作人员的相关组织保障工作；负责参赛选手培训；配合主办单位把好演讲稿内容关，做好比赛评审工作；负责比赛视频录制、编审；按照省比赛组委会要求拟定评判标准及相关细则等，保证比赛公平、公正、公开、有序进行。</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0" w:firstLine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left"/>
        <w:textAlignment w:val="auto"/>
        <w:outlineLvl w:val="9"/>
        <w:rPr>
          <w:rFonts w:hint="eastAsia" w:ascii="方正黑体_GBK" w:hAnsi="方正黑体_GBK" w:eastAsia="方正黑体_GBK" w:cs="方正黑体_GBK"/>
          <w:color w:val="auto"/>
          <w:spacing w:val="28"/>
          <w:sz w:val="32"/>
          <w:szCs w:val="32"/>
        </w:rPr>
      </w:pPr>
      <w:r>
        <w:rPr>
          <w:rFonts w:hint="eastAsia" w:ascii="方正黑体_GBK" w:hAnsi="方正黑体_GBK" w:eastAsia="方正黑体_GBK" w:cs="方正黑体_GBK"/>
          <w:color w:val="auto"/>
          <w:spacing w:val="28"/>
          <w:sz w:val="32"/>
          <w:szCs w:val="32"/>
        </w:rPr>
        <w:t>附件2</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center"/>
        <w:textAlignment w:val="auto"/>
        <w:outlineLvl w:val="9"/>
        <w:rPr>
          <w:rFonts w:hint="eastAsia" w:ascii="方正小标宋简体" w:hAnsi="方正小标宋简体" w:eastAsia="方正小标宋简体" w:cs="方正小标宋简体"/>
          <w:b w:val="0"/>
          <w:bCs w:val="0"/>
          <w:color w:val="auto"/>
          <w:spacing w:val="28"/>
          <w:sz w:val="32"/>
          <w:szCs w:val="32"/>
        </w:rPr>
      </w:pPr>
      <w:r>
        <w:rPr>
          <w:rFonts w:hint="eastAsia" w:ascii="方正小标宋简体" w:hAnsi="方正小标宋简体" w:eastAsia="方正小标宋简体" w:cs="方正小标宋简体"/>
          <w:b w:val="0"/>
          <w:bCs w:val="0"/>
          <w:color w:val="auto"/>
          <w:spacing w:val="28"/>
          <w:sz w:val="44"/>
          <w:szCs w:val="44"/>
        </w:rPr>
        <w:t>演讲比赛评分标准</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jc w:val="center"/>
        <w:textAlignment w:val="auto"/>
        <w:outlineLvl w:val="9"/>
        <w:rPr>
          <w:rFonts w:hint="eastAsia" w:ascii="方正小标宋简体" w:hAnsi="方正小标宋简体" w:eastAsia="方正小标宋简体" w:cs="方正小标宋简体"/>
          <w:b w:val="0"/>
          <w:bCs w:val="0"/>
          <w:color w:val="auto"/>
          <w:spacing w:val="28"/>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分演讲内容、语言表达、形象风度、综合印象四部分对演讲选手进行评分。满分为100分。</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1.演讲内容：50分</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内容紧扣主题，观点正确新颖，主题鲜明深刻，格调和极向上，语言自然流畅，富有真情实感。</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2.语言表达：30分</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脱稿演讲，声音洪亮，口齿清晰，普通话标准，语速适当，表达流畅。讲究演讲技巧，富有艺术表现力。</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3.形象风度：10分</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要求衣着整洁，仪态端庄大方，举止自然得体，精神风貌良好，上下场有礼节。</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jc w:val="left"/>
        <w:textAlignment w:val="auto"/>
        <w:outlineLvl w:val="9"/>
        <w:rPr>
          <w:rFonts w:hint="eastAsia" w:ascii="方正仿宋_GBK" w:hAnsi="方正仿宋_GBK" w:eastAsia="方正仿宋_GBK" w:cs="方正仿宋_GBK"/>
          <w:color w:val="auto"/>
          <w:spacing w:val="28"/>
          <w:sz w:val="32"/>
          <w:szCs w:val="32"/>
        </w:rPr>
      </w:pPr>
      <w:r>
        <w:rPr>
          <w:rFonts w:hint="eastAsia" w:ascii="方正仿宋_GBK" w:hAnsi="方正仿宋_GBK" w:eastAsia="方正仿宋_GBK" w:cs="方正仿宋_GBK"/>
          <w:color w:val="auto"/>
          <w:spacing w:val="28"/>
          <w:sz w:val="32"/>
          <w:szCs w:val="32"/>
        </w:rPr>
        <w:t>4.综合印象：10分</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firstLine="672" w:firstLineChars="200"/>
        <w:contextualSpacing/>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pacing w:val="28"/>
          <w:sz w:val="32"/>
          <w:szCs w:val="32"/>
        </w:rPr>
        <w:t>根据演讲选手临场表现作出综合演讲素质评价</w:t>
      </w:r>
      <w:r>
        <w:rPr>
          <w:rFonts w:hint="eastAsia" w:ascii="方正仿宋_GBK" w:hAnsi="方正仿宋_GBK" w:eastAsia="方正仿宋_GBK" w:cs="方正仿宋_GBK"/>
          <w:color w:val="auto"/>
          <w:sz w:val="32"/>
          <w:szCs w:val="32"/>
        </w:rPr>
        <w:t>。</w:t>
      </w: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left="-5" w:right="0" w:rightChars="0"/>
        <w:contextualSpacing/>
        <w:textAlignment w:val="auto"/>
        <w:outlineLvl w:val="9"/>
        <w:rPr>
          <w:rFonts w:hint="eastAsia" w:ascii="方正仿宋_GBK" w:hAnsi="方正仿宋_GBK" w:eastAsia="方正仿宋_GBK" w:cs="方正仿宋_GBK"/>
          <w:color w:val="auto"/>
          <w:sz w:val="32"/>
          <w:szCs w:val="32"/>
        </w:rPr>
      </w:pPr>
    </w:p>
    <w:p>
      <w:pPr>
        <w:adjustRightInd w:val="0"/>
        <w:snapToGrid w:val="0"/>
        <w:spacing w:after="0" w:line="216" w:lineRule="auto"/>
        <w:ind w:left="-5" w:right="0"/>
        <w:contextualSpacing/>
        <w:rPr>
          <w:rFonts w:ascii="宋体" w:hAnsi="宋体" w:eastAsia="宋体"/>
          <w:color w:val="auto"/>
          <w:sz w:val="28"/>
        </w:rPr>
      </w:pPr>
    </w:p>
    <w:p>
      <w:pPr>
        <w:adjustRightInd w:val="0"/>
        <w:snapToGrid w:val="0"/>
        <w:spacing w:after="0" w:line="216" w:lineRule="auto"/>
        <w:ind w:left="-5" w:right="0"/>
        <w:contextualSpacing/>
        <w:rPr>
          <w:rFonts w:ascii="宋体" w:hAnsi="宋体" w:eastAsia="宋体"/>
          <w:color w:val="auto"/>
          <w:sz w:val="28"/>
        </w:rPr>
      </w:pPr>
    </w:p>
    <w:p>
      <w:pPr>
        <w:adjustRightInd w:val="0"/>
        <w:snapToGrid w:val="0"/>
        <w:spacing w:after="0" w:line="216" w:lineRule="auto"/>
        <w:ind w:left="-5" w:right="0"/>
        <w:contextualSpacing/>
        <w:rPr>
          <w:rFonts w:ascii="宋体" w:hAnsi="宋体" w:eastAsia="宋体"/>
          <w:color w:val="auto"/>
          <w:sz w:val="28"/>
        </w:rPr>
      </w:pPr>
    </w:p>
    <w:p>
      <w:pPr>
        <w:adjustRightInd w:val="0"/>
        <w:snapToGrid w:val="0"/>
        <w:spacing w:after="0" w:line="216" w:lineRule="auto"/>
        <w:ind w:left="-5" w:right="0"/>
        <w:contextualSpacing/>
        <w:rPr>
          <w:rFonts w:ascii="宋体" w:hAnsi="宋体" w:eastAsia="宋体"/>
          <w:color w:val="auto"/>
          <w:sz w:val="28"/>
        </w:rPr>
      </w:pPr>
    </w:p>
    <w:p>
      <w:pPr>
        <w:adjustRightInd w:val="0"/>
        <w:snapToGrid w:val="0"/>
        <w:spacing w:after="0" w:line="216" w:lineRule="auto"/>
        <w:ind w:left="-5" w:right="0"/>
        <w:contextualSpacing/>
        <w:rPr>
          <w:rFonts w:ascii="宋体" w:hAnsi="宋体" w:eastAsia="宋体"/>
          <w:color w:val="auto"/>
          <w:sz w:val="28"/>
        </w:rPr>
      </w:pPr>
    </w:p>
    <w:p>
      <w:pPr>
        <w:adjustRightInd w:val="0"/>
        <w:snapToGrid w:val="0"/>
        <w:spacing w:after="0" w:line="216" w:lineRule="auto"/>
        <w:ind w:left="-5" w:right="0"/>
        <w:contextualSpacing/>
        <w:rPr>
          <w:rFonts w:ascii="宋体" w:hAnsi="宋体" w:eastAsia="宋体"/>
          <w:color w:val="auto"/>
          <w:sz w:val="28"/>
        </w:rPr>
      </w:pPr>
    </w:p>
    <w:p>
      <w:pPr>
        <w:adjustRightInd w:val="0"/>
        <w:snapToGrid w:val="0"/>
        <w:spacing w:after="0" w:line="216" w:lineRule="auto"/>
        <w:ind w:left="-5" w:right="0"/>
        <w:contextualSpacing/>
        <w:rPr>
          <w:rFonts w:ascii="宋体" w:hAnsi="宋体" w:eastAsia="宋体"/>
          <w:color w:val="auto"/>
          <w:sz w:val="28"/>
        </w:rPr>
      </w:pPr>
    </w:p>
    <w:p>
      <w:pPr>
        <w:adjustRightInd w:val="0"/>
        <w:snapToGrid w:val="0"/>
        <w:spacing w:after="0" w:line="216" w:lineRule="auto"/>
        <w:ind w:left="-5" w:right="0"/>
        <w:contextualSpacing/>
        <w:rPr>
          <w:rFonts w:ascii="宋体" w:hAnsi="宋体" w:eastAsia="宋体"/>
          <w:color w:val="auto"/>
          <w:sz w:val="28"/>
        </w:rPr>
        <w:sectPr>
          <w:footerReference r:id="rId3" w:type="default"/>
          <w:pgSz w:w="11906" w:h="16838"/>
          <w:pgMar w:top="1440" w:right="1800" w:bottom="1440" w:left="1800" w:header="851" w:footer="992" w:gutter="0"/>
          <w:cols w:space="425" w:num="1"/>
          <w:docGrid w:type="lines" w:linePitch="312" w:charSpace="0"/>
        </w:sectPr>
      </w:pPr>
    </w:p>
    <w:p>
      <w:pPr>
        <w:adjustRightInd w:val="0"/>
        <w:snapToGrid w:val="0"/>
        <w:spacing w:after="0" w:line="216" w:lineRule="auto"/>
        <w:ind w:left="-5" w:right="0"/>
        <w:contextualSpacing/>
        <w:rPr>
          <w:rFonts w:ascii="宋体" w:hAnsi="宋体" w:eastAsia="宋体"/>
          <w:sz w:val="28"/>
        </w:rPr>
      </w:pPr>
      <w:r>
        <w:rPr>
          <w:rFonts w:hint="eastAsia" w:ascii="方正黑体_GBK" w:hAnsi="方正黑体_GBK" w:eastAsia="方正黑体_GBK" w:cs="方正黑体_GBK"/>
          <w:sz w:val="28"/>
        </w:rPr>
        <w:t>附件3</w:t>
      </w:r>
    </w:p>
    <w:p>
      <w:pPr>
        <w:keepNext w:val="0"/>
        <w:keepLines w:val="0"/>
        <w:pageBreakBefore w:val="0"/>
        <w:widowControl w:val="0"/>
        <w:kinsoku/>
        <w:wordWrap/>
        <w:overflowPunct/>
        <w:topLinePunct w:val="0"/>
        <w:autoSpaceDE/>
        <w:autoSpaceDN/>
        <w:bidi w:val="0"/>
        <w:adjustRightInd w:val="0"/>
        <w:snapToGrid w:val="0"/>
        <w:spacing w:after="0" w:line="720" w:lineRule="exact"/>
        <w:ind w:left="0" w:leftChars="0" w:right="0" w:rightChars="0" w:firstLine="0" w:firstLineChars="0"/>
        <w:contextualSpacing/>
        <w:jc w:val="center"/>
        <w:textAlignment w:val="auto"/>
        <w:outlineLvl w:val="9"/>
        <w:rPr>
          <w:rFonts w:hint="eastAsia" w:ascii="方正小标宋简体" w:hAnsi="方正小标宋简体" w:eastAsia="方正小标宋简体" w:cs="方正小标宋简体"/>
          <w:b/>
          <w:bCs/>
          <w:color w:val="auto"/>
          <w:sz w:val="40"/>
          <w:szCs w:val="44"/>
        </w:rPr>
      </w:pPr>
      <w:r>
        <w:rPr>
          <w:rFonts w:hint="eastAsia" w:ascii="方正小标宋简体" w:hAnsi="方正小标宋简体" w:eastAsia="方正小标宋简体" w:cs="方正小标宋简体"/>
          <w:b/>
          <w:bCs/>
          <w:color w:val="auto"/>
          <w:sz w:val="40"/>
          <w:szCs w:val="44"/>
        </w:rPr>
        <w:t>广东省第五届“南粤长城杯”演讲比赛报名表</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right="0" w:rightChars="0" w:firstLine="0" w:firstLineChars="0"/>
        <w:contextualSpacing/>
        <w:jc w:val="center"/>
        <w:textAlignment w:val="auto"/>
        <w:outlineLvl w:val="9"/>
        <w:rPr>
          <w:rFonts w:hint="eastAsia" w:ascii="方正小标宋简体" w:hAnsi="方正小标宋简体" w:eastAsia="方正小标宋简体" w:cs="方正小标宋简体"/>
          <w:b/>
          <w:bCs/>
          <w:color w:val="auto"/>
          <w:sz w:val="40"/>
          <w:szCs w:val="44"/>
        </w:rPr>
      </w:pPr>
    </w:p>
    <w:tbl>
      <w:tblPr>
        <w:tblStyle w:val="7"/>
        <w:tblpPr w:leftFromText="180" w:rightFromText="180" w:vertAnchor="text" w:tblpY="1"/>
        <w:tblOverlap w:val="never"/>
        <w:tblW w:w="13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1350"/>
        <w:gridCol w:w="1317"/>
        <w:gridCol w:w="883"/>
        <w:gridCol w:w="1300"/>
        <w:gridCol w:w="2984"/>
        <w:gridCol w:w="2316"/>
        <w:gridCol w:w="1434"/>
        <w:gridCol w:w="1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2252" w:type="dxa"/>
            <w:gridSpan w:val="2"/>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报送单位</w:t>
            </w:r>
          </w:p>
        </w:tc>
        <w:tc>
          <w:tcPr>
            <w:tcW w:w="11711" w:type="dxa"/>
            <w:gridSpan w:val="7"/>
            <w:vAlign w:val="center"/>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2252" w:type="dxa"/>
            <w:gridSpan w:val="2"/>
            <w:vMerge w:val="restart"/>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报送单位负责人联系方式</w:t>
            </w:r>
          </w:p>
        </w:tc>
        <w:tc>
          <w:tcPr>
            <w:tcW w:w="1317"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联系人</w:t>
            </w:r>
          </w:p>
        </w:tc>
        <w:tc>
          <w:tcPr>
            <w:tcW w:w="2183" w:type="dxa"/>
            <w:gridSpan w:val="2"/>
            <w:vAlign w:val="center"/>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4"/>
                <w:szCs w:val="28"/>
              </w:rPr>
            </w:pPr>
          </w:p>
        </w:tc>
        <w:tc>
          <w:tcPr>
            <w:tcW w:w="2984"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手机号码</w:t>
            </w:r>
          </w:p>
        </w:tc>
        <w:tc>
          <w:tcPr>
            <w:tcW w:w="2316" w:type="dxa"/>
            <w:vAlign w:val="center"/>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4"/>
                <w:szCs w:val="28"/>
              </w:rPr>
            </w:pPr>
          </w:p>
        </w:tc>
        <w:tc>
          <w:tcPr>
            <w:tcW w:w="1434"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电话</w:t>
            </w:r>
          </w:p>
        </w:tc>
        <w:tc>
          <w:tcPr>
            <w:tcW w:w="1477" w:type="dxa"/>
            <w:vAlign w:val="center"/>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2252" w:type="dxa"/>
            <w:gridSpan w:val="2"/>
            <w:vMerge w:val="continue"/>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p>
        </w:tc>
        <w:tc>
          <w:tcPr>
            <w:tcW w:w="1317"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电子邮箱</w:t>
            </w:r>
          </w:p>
        </w:tc>
        <w:tc>
          <w:tcPr>
            <w:tcW w:w="2183" w:type="dxa"/>
            <w:gridSpan w:val="2"/>
            <w:vAlign w:val="center"/>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4"/>
                <w:szCs w:val="28"/>
              </w:rPr>
            </w:pPr>
          </w:p>
        </w:tc>
        <w:tc>
          <w:tcPr>
            <w:tcW w:w="2984"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联系地址</w:t>
            </w:r>
          </w:p>
        </w:tc>
        <w:tc>
          <w:tcPr>
            <w:tcW w:w="5227" w:type="dxa"/>
            <w:gridSpan w:val="3"/>
            <w:vAlign w:val="center"/>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3963" w:type="dxa"/>
            <w:gridSpan w:val="9"/>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参赛选手信息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902"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序号</w:t>
            </w:r>
          </w:p>
        </w:tc>
        <w:tc>
          <w:tcPr>
            <w:tcW w:w="1350"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姓名</w:t>
            </w:r>
          </w:p>
        </w:tc>
        <w:tc>
          <w:tcPr>
            <w:tcW w:w="1317"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组别</w:t>
            </w:r>
          </w:p>
        </w:tc>
        <w:tc>
          <w:tcPr>
            <w:tcW w:w="883"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性别</w:t>
            </w:r>
          </w:p>
        </w:tc>
        <w:tc>
          <w:tcPr>
            <w:tcW w:w="1300"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年龄</w:t>
            </w:r>
          </w:p>
        </w:tc>
        <w:tc>
          <w:tcPr>
            <w:tcW w:w="2984"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身份证号</w:t>
            </w:r>
          </w:p>
        </w:tc>
        <w:tc>
          <w:tcPr>
            <w:tcW w:w="2316"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手机号</w:t>
            </w:r>
          </w:p>
        </w:tc>
        <w:tc>
          <w:tcPr>
            <w:tcW w:w="2911" w:type="dxa"/>
            <w:gridSpan w:val="2"/>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902"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2"/>
                <w:szCs w:val="24"/>
              </w:rPr>
            </w:pPr>
            <w:r>
              <w:rPr>
                <w:rFonts w:hint="eastAsia" w:ascii="方正仿宋_GBK" w:hAnsi="方正仿宋_GBK" w:eastAsia="方正仿宋_GBK" w:cs="方正仿宋_GBK"/>
                <w:color w:val="auto"/>
                <w:sz w:val="22"/>
                <w:szCs w:val="24"/>
              </w:rPr>
              <w:t>1</w:t>
            </w:r>
          </w:p>
        </w:tc>
        <w:tc>
          <w:tcPr>
            <w:tcW w:w="1350"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1317"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883"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1300"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984"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316"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911" w:type="dxa"/>
            <w:gridSpan w:val="2"/>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902"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2"/>
                <w:szCs w:val="24"/>
              </w:rPr>
            </w:pPr>
            <w:r>
              <w:rPr>
                <w:rFonts w:hint="eastAsia" w:ascii="方正仿宋_GBK" w:hAnsi="方正仿宋_GBK" w:eastAsia="方正仿宋_GBK" w:cs="方正仿宋_GBK"/>
                <w:color w:val="auto"/>
                <w:sz w:val="22"/>
                <w:szCs w:val="24"/>
              </w:rPr>
              <w:t>2</w:t>
            </w:r>
          </w:p>
        </w:tc>
        <w:tc>
          <w:tcPr>
            <w:tcW w:w="1350"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1317"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883"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1300"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984"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316"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911" w:type="dxa"/>
            <w:gridSpan w:val="2"/>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902"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2"/>
                <w:szCs w:val="24"/>
              </w:rPr>
            </w:pPr>
            <w:r>
              <w:rPr>
                <w:rFonts w:hint="eastAsia" w:ascii="方正仿宋_GBK" w:hAnsi="方正仿宋_GBK" w:eastAsia="方正仿宋_GBK" w:cs="方正仿宋_GBK"/>
                <w:color w:val="auto"/>
                <w:sz w:val="22"/>
                <w:szCs w:val="24"/>
              </w:rPr>
              <w:t>3</w:t>
            </w:r>
          </w:p>
        </w:tc>
        <w:tc>
          <w:tcPr>
            <w:tcW w:w="1350"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1317"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883"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1300"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984"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316"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911" w:type="dxa"/>
            <w:gridSpan w:val="2"/>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902"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2"/>
                <w:szCs w:val="24"/>
              </w:rPr>
            </w:pPr>
            <w:r>
              <w:rPr>
                <w:rFonts w:hint="eastAsia" w:ascii="方正仿宋_GBK" w:hAnsi="方正仿宋_GBK" w:eastAsia="方正仿宋_GBK" w:cs="方正仿宋_GBK"/>
                <w:color w:val="auto"/>
                <w:sz w:val="22"/>
                <w:szCs w:val="24"/>
              </w:rPr>
              <w:t>4</w:t>
            </w:r>
          </w:p>
        </w:tc>
        <w:tc>
          <w:tcPr>
            <w:tcW w:w="1350"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1317"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883"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1300"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984"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316" w:type="dxa"/>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c>
          <w:tcPr>
            <w:tcW w:w="2911" w:type="dxa"/>
            <w:gridSpan w:val="2"/>
          </w:tcPr>
          <w:p>
            <w:pPr>
              <w:widowControl w:val="0"/>
              <w:adjustRightInd w:val="0"/>
              <w:snapToGrid w:val="0"/>
              <w:spacing w:after="0" w:line="240" w:lineRule="auto"/>
              <w:ind w:left="0" w:right="0" w:firstLine="0"/>
              <w:contextualSpacing/>
              <w:jc w:val="left"/>
              <w:rPr>
                <w:rFonts w:hint="eastAsia" w:ascii="方正仿宋_GBK" w:hAnsi="方正仿宋_GBK" w:eastAsia="方正仿宋_GBK" w:cs="方正仿宋_GBK"/>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902" w:type="dxa"/>
            <w:vAlign w:val="center"/>
          </w:tcPr>
          <w:p>
            <w:pPr>
              <w:widowControl w:val="0"/>
              <w:adjustRightInd w:val="0"/>
              <w:snapToGrid w:val="0"/>
              <w:spacing w:after="0" w:line="240" w:lineRule="auto"/>
              <w:ind w:left="0" w:right="0" w:firstLine="0"/>
              <w:contextualSpacing/>
              <w:jc w:val="center"/>
              <w:rPr>
                <w:rFonts w:hint="eastAsia" w:ascii="方正仿宋_GBK" w:hAnsi="方正仿宋_GBK" w:eastAsia="方正仿宋_GBK" w:cs="方正仿宋_GBK"/>
                <w:color w:val="auto"/>
                <w:sz w:val="24"/>
                <w:szCs w:val="28"/>
              </w:rPr>
            </w:pPr>
            <w:r>
              <w:rPr>
                <w:rFonts w:hint="eastAsia" w:ascii="方正仿宋_GBK" w:hAnsi="方正仿宋_GBK" w:eastAsia="方正仿宋_GBK" w:cs="方正仿宋_GBK"/>
                <w:color w:val="auto"/>
                <w:sz w:val="24"/>
                <w:szCs w:val="28"/>
              </w:rPr>
              <w:t>说明</w:t>
            </w:r>
          </w:p>
        </w:tc>
        <w:tc>
          <w:tcPr>
            <w:tcW w:w="10150" w:type="dxa"/>
            <w:gridSpan w:val="6"/>
          </w:tcPr>
          <w:p>
            <w:pPr>
              <w:widowControl w:val="0"/>
              <w:adjustRightInd w:val="0"/>
              <w:snapToGrid w:val="0"/>
              <w:spacing w:after="0" w:line="276" w:lineRule="auto"/>
              <w:ind w:left="0" w:right="0" w:firstLine="0"/>
              <w:contextualSpacing/>
              <w:jc w:val="left"/>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1.无报送单位的可只填参赛选手信息栏。</w:t>
            </w:r>
          </w:p>
          <w:p>
            <w:pPr>
              <w:widowControl w:val="0"/>
              <w:adjustRightInd w:val="0"/>
              <w:snapToGrid w:val="0"/>
              <w:spacing w:after="0" w:line="276" w:lineRule="auto"/>
              <w:ind w:left="0" w:right="0" w:firstLine="0"/>
              <w:contextualSpacing/>
              <w:jc w:val="left"/>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2.备注栏可填写选手身份、单位或特点特长等背景信息。</w:t>
            </w:r>
          </w:p>
          <w:p>
            <w:pPr>
              <w:widowControl w:val="0"/>
              <w:adjustRightInd w:val="0"/>
              <w:snapToGrid w:val="0"/>
              <w:spacing w:after="0" w:line="276" w:lineRule="auto"/>
              <w:ind w:left="240" w:right="0" w:hanging="240" w:hangingChars="100"/>
              <w:contextualSpacing/>
              <w:jc w:val="left"/>
              <w:rPr>
                <w:rFonts w:hint="eastAsia" w:ascii="方正仿宋_GBK" w:hAnsi="方正仿宋_GBK" w:eastAsia="方正仿宋_GBK" w:cs="方正仿宋_GBK"/>
                <w:b/>
                <w:bCs/>
                <w:color w:val="auto"/>
                <w:sz w:val="22"/>
              </w:rPr>
            </w:pPr>
            <w:r>
              <w:rPr>
                <w:rFonts w:hint="eastAsia" w:ascii="方正仿宋_GBK" w:hAnsi="方正仿宋_GBK" w:eastAsia="方正仿宋_GBK" w:cs="方正仿宋_GBK"/>
                <w:color w:val="auto"/>
                <w:sz w:val="24"/>
                <w:szCs w:val="24"/>
              </w:rPr>
              <w:t>3.报名咨询：张老师020-83825505/ 18529115820，刘老师15626268705，报送邮箱gdspeech@ 163.com，邮寄地址：广州市中山三路荣华北20-3号大东园广东演讲学会。邮政编码：510080。</w:t>
            </w:r>
          </w:p>
        </w:tc>
        <w:tc>
          <w:tcPr>
            <w:tcW w:w="2911" w:type="dxa"/>
            <w:gridSpan w:val="2"/>
          </w:tcPr>
          <w:p>
            <w:pPr>
              <w:widowControl w:val="0"/>
              <w:adjustRightInd w:val="0"/>
              <w:snapToGrid w:val="0"/>
              <w:spacing w:after="0" w:line="276" w:lineRule="auto"/>
              <w:ind w:left="0" w:right="0" w:firstLine="0"/>
              <w:contextualSpacing/>
              <w:jc w:val="left"/>
              <w:rPr>
                <w:rFonts w:hint="eastAsia" w:ascii="方正仿宋_GBK" w:hAnsi="方正仿宋_GBK" w:eastAsia="方正仿宋_GBK" w:cs="方正仿宋_GBK"/>
                <w:color w:val="auto"/>
                <w:sz w:val="24"/>
                <w:szCs w:val="24"/>
              </w:rPr>
            </w:pPr>
          </w:p>
        </w:tc>
      </w:tr>
    </w:tbl>
    <w:p>
      <w:pPr>
        <w:widowControl w:val="0"/>
        <w:adjustRightInd w:val="0"/>
        <w:snapToGrid w:val="0"/>
        <w:spacing w:after="0" w:line="240" w:lineRule="auto"/>
        <w:ind w:left="0" w:right="0" w:firstLine="0"/>
        <w:contextualSpacing/>
        <w:rPr>
          <w:rFonts w:ascii="宋体" w:hAnsi="宋体" w:eastAsia="宋体" w:cstheme="minorBidi"/>
          <w:color w:val="auto"/>
          <w:sz w:val="21"/>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0" w:leftChars="0" w:right="0" w:firstLine="0" w:firstLineChars="0"/>
        <w:contextualSpacing/>
        <w:rPr>
          <w:rFonts w:ascii="宋体" w:hAnsi="宋体" w:eastAsia="宋体"/>
          <w:sz w:val="28"/>
        </w:rPr>
        <w:sectPr>
          <w:pgSz w:w="16838" w:h="11906" w:orient="landscape"/>
          <w:pgMar w:top="1800" w:right="1440" w:bottom="1800" w:left="1440" w:header="851" w:footer="992" w:gutter="0"/>
          <w:cols w:space="425" w:num="1"/>
          <w:docGrid w:type="lines" w:linePitch="312" w:charSpace="0"/>
        </w:sect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ascii="宋体" w:hAnsi="宋体" w:eastAsia="宋体"/>
          <w:sz w:val="28"/>
        </w:rPr>
      </w:pPr>
    </w:p>
    <w:p>
      <w:pPr>
        <w:adjustRightInd w:val="0"/>
        <w:snapToGrid w:val="0"/>
        <w:spacing w:after="0" w:line="216" w:lineRule="auto"/>
        <w:ind w:left="-5" w:right="0"/>
        <w:contextualSpacing/>
        <w:rPr>
          <w:rFonts w:hint="eastAsia" w:ascii="方正仿宋_GBK" w:hAnsi="方正仿宋_GBK" w:eastAsia="方正仿宋_GBK" w:cs="方正仿宋_GBK"/>
          <w:sz w:val="28"/>
        </w:rPr>
      </w:pPr>
    </w:p>
    <w:p>
      <w:pPr>
        <w:adjustRightInd w:val="0"/>
        <w:snapToGrid w:val="0"/>
        <w:spacing w:after="0" w:line="216" w:lineRule="auto"/>
        <w:ind w:left="-5" w:right="0"/>
        <w:contextualSpacing/>
        <w:rPr>
          <w:rFonts w:hint="eastAsia" w:ascii="方正仿宋_GBK" w:hAnsi="方正仿宋_GBK" w:eastAsia="方正仿宋_GBK" w:cs="方正仿宋_GBK"/>
          <w:sz w:val="28"/>
        </w:rPr>
      </w:pPr>
    </w:p>
    <w:p>
      <w:pPr>
        <w:adjustRightInd w:val="0"/>
        <w:snapToGrid w:val="0"/>
        <w:spacing w:after="0" w:line="216" w:lineRule="auto"/>
        <w:ind w:left="-5" w:right="0"/>
        <w:contextualSpacing/>
        <w:rPr>
          <w:rFonts w:hint="eastAsia" w:ascii="方正仿宋_GBK" w:hAnsi="方正仿宋_GBK" w:eastAsia="方正仿宋_GBK" w:cs="方正仿宋_GBK"/>
          <w:sz w:val="28"/>
        </w:rPr>
      </w:pPr>
      <w:r>
        <w:rPr>
          <w:rFonts w:hint="eastAsia" w:ascii="方正仿宋_GBK" w:hAnsi="方正仿宋_GBK" w:eastAsia="方正仿宋_GBK" w:cs="方正仿宋_GBK"/>
          <w:sz w:val="22"/>
        </w:rPr>
        <mc:AlternateContent>
          <mc:Choice Requires="wpg">
            <w:drawing>
              <wp:inline distT="0" distB="0" distL="0" distR="0">
                <wp:extent cx="5274310" cy="11430"/>
                <wp:effectExtent l="0" t="0" r="21590" b="26670"/>
                <wp:docPr id="36779" name="Group 36779"/>
                <wp:cNvGraphicFramePr/>
                <a:graphic xmlns:a="http://schemas.openxmlformats.org/drawingml/2006/main">
                  <a:graphicData uri="http://schemas.microsoft.com/office/word/2010/wordprocessingGroup">
                    <wpg:wgp>
                      <wpg:cNvGrpSpPr/>
                      <wpg:grpSpPr>
                        <a:xfrm>
                          <a:off x="0" y="0"/>
                          <a:ext cx="5274310" cy="11438"/>
                          <a:chOff x="0" y="0"/>
                          <a:chExt cx="5563311" cy="12195"/>
                        </a:xfrm>
                      </wpg:grpSpPr>
                      <wps:wsp>
                        <wps:cNvPr id="36778" name="Shape 36778"/>
                        <wps:cNvSpPr/>
                        <wps:spPr>
                          <a:xfrm>
                            <a:off x="0" y="0"/>
                            <a:ext cx="5563311" cy="12195"/>
                          </a:xfrm>
                          <a:custGeom>
                            <a:avLst/>
                            <a:gdLst/>
                            <a:ahLst/>
                            <a:cxnLst/>
                            <a:rect l="0" t="0" r="0" b="0"/>
                            <a:pathLst>
                              <a:path w="5563311" h="12195">
                                <a:moveTo>
                                  <a:pt x="0" y="6098"/>
                                </a:moveTo>
                                <a:lnTo>
                                  <a:pt x="5563311" y="6098"/>
                                </a:lnTo>
                              </a:path>
                            </a:pathLst>
                          </a:custGeom>
                          <a:ln w="12195"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id="Group 36779" o:spid="_x0000_s1026" o:spt="203" style="height:0.9pt;width:415.3pt;" coordsize="5563311,12195" o:gfxdata="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MQmqRnUAAAAAwEAAA8AAAAAAAAAAQAg&#10;AAAAIgAAAGRycy9kb3ducmV2LnhtbFBLAQIUABQAAAAIAIdO4kC8mqWPSwIAAGQFAAAOAAAAAAAA&#10;AAEAIAAAACMBAABkcnMvZTJvRG9jLnhtbFBLBQYAAAAABgAGAFkBAADgBQAAAAA=&#10;">
                <o:lock v:ext="edit" aspectratio="f"/>
                <v:shape id="Shape 36778" o:spid="_x0000_s1026" o:spt="100" style="position:absolute;left:0;top:0;height:12195;width:5563311;" filled="f" stroked="t" coordsize="5563311,12195" o:gfxdata="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KzzW+8AAAA&#10;3gAAAA8AAAAAAAAAAQAgAAAAIgAAAGRycy9kb3ducmV2LnhtbFBLAQIUABQAAAAIAIdO4kAzLwWe&#10;OwAAADkAAAAQAAAAAAAAAAEAIAAAAAsBAABkcnMvc2hhcGV4bWwueG1sUEsFBgAAAAAGAAYAWwEA&#10;ALUDAAAAAA==&#10;" path="m0,6098l5563311,6098e">
                  <v:fill on="f" focussize="0,0"/>
                  <v:stroke weight="0.960236220472441pt" color="#000000" miterlimit="1" joinstyle="miter"/>
                  <v:imagedata o:title=""/>
                  <o:lock v:ext="edit" aspectratio="f"/>
                </v:shape>
                <w10:wrap type="none"/>
                <w10:anchorlock/>
              </v:group>
            </w:pict>
          </mc:Fallback>
        </mc:AlternateContent>
      </w:r>
    </w:p>
    <w:p>
      <w:pPr>
        <w:adjustRightInd w:val="0"/>
        <w:snapToGrid w:val="0"/>
        <w:spacing w:after="130" w:line="259" w:lineRule="auto"/>
        <w:ind w:left="72" w:right="0" w:firstLine="0"/>
        <w:contextualSpacing/>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中共广东省委宣传部办公室</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 xml:space="preserve">     2017年5月8日印发</w:t>
      </w:r>
    </w:p>
    <w:p>
      <w:pPr>
        <w:adjustRightInd w:val="0"/>
        <w:snapToGrid w:val="0"/>
        <w:spacing w:after="0" w:line="216" w:lineRule="auto"/>
        <w:ind w:left="-5" w:right="0"/>
        <w:contextualSpacing/>
        <w:rPr>
          <w:rFonts w:ascii="宋体" w:hAnsi="宋体" w:eastAsia="宋体"/>
        </w:rPr>
      </w:pPr>
      <w:r>
        <w:rPr>
          <w:rFonts w:hint="eastAsia" w:ascii="方正仿宋_GBK" w:hAnsi="方正仿宋_GBK" w:eastAsia="方正仿宋_GBK" w:cs="方正仿宋_GBK"/>
          <w:sz w:val="22"/>
        </w:rPr>
        <mc:AlternateContent>
          <mc:Choice Requires="wpg">
            <w:drawing>
              <wp:inline distT="0" distB="0" distL="0" distR="0">
                <wp:extent cx="5274310" cy="11430"/>
                <wp:effectExtent l="0" t="0" r="21590" b="26670"/>
                <wp:docPr id="2" name="Group 36779"/>
                <wp:cNvGraphicFramePr/>
                <a:graphic xmlns:a="http://schemas.openxmlformats.org/drawingml/2006/main">
                  <a:graphicData uri="http://schemas.microsoft.com/office/word/2010/wordprocessingGroup">
                    <wpg:wgp>
                      <wpg:cNvGrpSpPr/>
                      <wpg:grpSpPr>
                        <a:xfrm>
                          <a:off x="0" y="0"/>
                          <a:ext cx="5274310" cy="11438"/>
                          <a:chOff x="0" y="0"/>
                          <a:chExt cx="5563311" cy="12195"/>
                        </a:xfrm>
                      </wpg:grpSpPr>
                      <wps:wsp>
                        <wps:cNvPr id="3" name="Shape 36778"/>
                        <wps:cNvSpPr/>
                        <wps:spPr>
                          <a:xfrm>
                            <a:off x="0" y="0"/>
                            <a:ext cx="5563311" cy="12195"/>
                          </a:xfrm>
                          <a:custGeom>
                            <a:avLst/>
                            <a:gdLst/>
                            <a:ahLst/>
                            <a:cxnLst/>
                            <a:rect l="0" t="0" r="0" b="0"/>
                            <a:pathLst>
                              <a:path w="5563311" h="12195">
                                <a:moveTo>
                                  <a:pt x="0" y="6098"/>
                                </a:moveTo>
                                <a:lnTo>
                                  <a:pt x="5563311" y="6098"/>
                                </a:lnTo>
                              </a:path>
                            </a:pathLst>
                          </a:custGeom>
                          <a:ln w="12195"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id="Group 36779" o:spid="_x0000_s1026" o:spt="203" style="height:0.9pt;width:415.3pt;" coordsize="5563311,12195" o:gfxdata="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MQmqRnUAAAAAwEAAA8AAAAAAAAAAQAgAAAA&#10;IgAAAGRycy9kb3ducmV2LnhtbFBLAQIUABQAAAAIAIdO4kCoLjIkSAIAAFwFAAAOAAAAAAAAAAEA&#10;IAAAACMBAABkcnMvZTJvRG9jLnhtbFBLBQYAAAAABgAGAFkBAADdBQAAAAA=&#10;">
                <o:lock v:ext="edit" aspectratio="f"/>
                <v:shape id="Shape 36778" o:spid="_x0000_s1026" o:spt="100" style="position:absolute;left:0;top:0;height:12195;width:5563311;" filled="f" stroked="t" coordsize="5563311,12195" o:gfxdata="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jhnrbsAAADa&#10;AAAADwAAAAAAAAABACAAAAAiAAAAZHJzL2Rvd25yZXYueG1sUEsBAhQAFAAAAAgAh07iQDMvBZ47&#10;AAAAOQAAABAAAAAAAAAAAQAgAAAACgEAAGRycy9zaGFwZXhtbC54bWxQSwUGAAAAAAYABgBbAQAA&#10;tAMAAAAA&#10;" path="m0,6098l5563311,6098e">
                  <v:fill on="f" focussize="0,0"/>
                  <v:stroke weight="0.960236220472441pt" color="#000000" miterlimit="1" joinstyle="miter"/>
                  <v:imagedata o:title=""/>
                  <o:lock v:ext="edit" aspectratio="f"/>
                </v:shape>
                <w10:wrap type="none"/>
                <w10:anchorlock/>
              </v:group>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方正大标宋_GBK">
    <w:altName w:val="宋体"/>
    <w:panose1 w:val="03000509000000000000"/>
    <w:charset w:val="86"/>
    <w:family w:val="script"/>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文鼎行楷碑体_B">
    <w:panose1 w:val="04020800000000000000"/>
    <w:charset w:val="86"/>
    <w:family w:val="auto"/>
    <w:pitch w:val="default"/>
    <w:sig w:usb0="A00002BF" w:usb1="184F6CF8" w:usb2="00000012" w:usb3="00000000" w:csb0="00040001" w:csb1="00000000"/>
  </w:font>
  <w:font w:name="冬青黑体简体中文 W3">
    <w:panose1 w:val="020B0300000000000000"/>
    <w:charset w:val="86"/>
    <w:family w:val="auto"/>
    <w:pitch w:val="default"/>
    <w:sig w:usb0="A00002BF" w:usb1="1ACF7CFA" w:usb2="00000016" w:usb3="00000000" w:csb0="00060007" w:csb1="00000000"/>
  </w:font>
  <w:font w:name="新宋体">
    <w:panose1 w:val="02010609030101010101"/>
    <w:charset w:val="86"/>
    <w:family w:val="auto"/>
    <w:pitch w:val="default"/>
    <w:sig w:usb0="00000003" w:usb1="288F0000" w:usb2="00000006"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HorizontalSpacing w:val="1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8F"/>
    <w:rsid w:val="0008563B"/>
    <w:rsid w:val="000C1C8F"/>
    <w:rsid w:val="001E5C3A"/>
    <w:rsid w:val="00266489"/>
    <w:rsid w:val="002A2386"/>
    <w:rsid w:val="00305AA8"/>
    <w:rsid w:val="00312A21"/>
    <w:rsid w:val="0034587D"/>
    <w:rsid w:val="003634FA"/>
    <w:rsid w:val="003B23F7"/>
    <w:rsid w:val="003C2ABF"/>
    <w:rsid w:val="004033DD"/>
    <w:rsid w:val="004A1659"/>
    <w:rsid w:val="004F22BA"/>
    <w:rsid w:val="005245E2"/>
    <w:rsid w:val="0053762B"/>
    <w:rsid w:val="005423AB"/>
    <w:rsid w:val="0054529B"/>
    <w:rsid w:val="00545D5B"/>
    <w:rsid w:val="005D5729"/>
    <w:rsid w:val="006037DC"/>
    <w:rsid w:val="00611D30"/>
    <w:rsid w:val="00687FA2"/>
    <w:rsid w:val="006B540C"/>
    <w:rsid w:val="006B67E0"/>
    <w:rsid w:val="006E7430"/>
    <w:rsid w:val="00795C09"/>
    <w:rsid w:val="00804600"/>
    <w:rsid w:val="0083701E"/>
    <w:rsid w:val="008E4192"/>
    <w:rsid w:val="00903473"/>
    <w:rsid w:val="00A14B45"/>
    <w:rsid w:val="00AF5F2B"/>
    <w:rsid w:val="00B422E1"/>
    <w:rsid w:val="00C965DE"/>
    <w:rsid w:val="00CA7F69"/>
    <w:rsid w:val="00D12F96"/>
    <w:rsid w:val="00DD2B53"/>
    <w:rsid w:val="00DE5971"/>
    <w:rsid w:val="00EE43F8"/>
    <w:rsid w:val="00F429BA"/>
    <w:rsid w:val="3B371715"/>
    <w:rsid w:val="63E04A5D"/>
    <w:rsid w:val="78A95446"/>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4" w:line="270" w:lineRule="auto"/>
      <w:ind w:left="10844" w:right="41" w:hanging="10"/>
      <w:jc w:val="both"/>
    </w:pPr>
    <w:rPr>
      <w:rFonts w:ascii="微软雅黑" w:hAnsi="微软雅黑" w:eastAsia="微软雅黑" w:cs="微软雅黑"/>
      <w:color w:val="000000"/>
      <w:kern w:val="2"/>
      <w:sz w:val="20"/>
      <w:szCs w:val="22"/>
      <w:lang w:val="en-US" w:eastAsia="zh-CN" w:bidi="he-IL"/>
    </w:rPr>
  </w:style>
  <w:style w:type="paragraph" w:styleId="2">
    <w:name w:val="heading 1"/>
    <w:next w:val="1"/>
    <w:link w:val="11"/>
    <w:unhideWhenUsed/>
    <w:qFormat/>
    <w:uiPriority w:val="9"/>
    <w:pPr>
      <w:keepNext/>
      <w:keepLines/>
      <w:spacing w:after="67" w:line="259" w:lineRule="auto"/>
      <w:ind w:left="5341" w:hanging="10"/>
      <w:jc w:val="center"/>
      <w:outlineLvl w:val="0"/>
    </w:pPr>
    <w:rPr>
      <w:rFonts w:ascii="微软雅黑" w:hAnsi="微软雅黑" w:eastAsia="微软雅黑" w:cs="微软雅黑"/>
      <w:color w:val="000000"/>
      <w:kern w:val="2"/>
      <w:sz w:val="22"/>
      <w:szCs w:val="22"/>
      <w:lang w:val="en-US" w:eastAsia="zh-CN" w:bidi="he-IL"/>
    </w:rPr>
  </w:style>
  <w:style w:type="character" w:default="1" w:styleId="5">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uiPriority w:val="99"/>
    <w:rPr>
      <w:sz w:val="18"/>
      <w:szCs w:val="18"/>
    </w:rPr>
  </w:style>
  <w:style w:type="character" w:customStyle="1" w:styleId="9">
    <w:name w:val="页脚 字符"/>
    <w:basedOn w:val="5"/>
    <w:link w:val="3"/>
    <w:qFormat/>
    <w:uiPriority w:val="99"/>
    <w:rPr>
      <w:sz w:val="18"/>
      <w:szCs w:val="18"/>
    </w:rPr>
  </w:style>
  <w:style w:type="paragraph" w:customStyle="1" w:styleId="10">
    <w:name w:val="List Paragraph"/>
    <w:basedOn w:val="1"/>
    <w:qFormat/>
    <w:uiPriority w:val="34"/>
    <w:pPr>
      <w:ind w:firstLine="420" w:firstLineChars="200"/>
    </w:pPr>
  </w:style>
  <w:style w:type="character" w:customStyle="1" w:styleId="11">
    <w:name w:val="标题 1 字符"/>
    <w:basedOn w:val="5"/>
    <w:link w:val="2"/>
    <w:qFormat/>
    <w:uiPriority w:val="9"/>
    <w:rPr>
      <w:rFonts w:ascii="微软雅黑" w:hAnsi="微软雅黑" w:eastAsia="微软雅黑" w:cs="微软雅黑"/>
      <w:color w:val="000000"/>
      <w:sz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F8C26A-8963-4C8D-A195-44AC5B9AAFC3}">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531</Words>
  <Characters>3032</Characters>
  <Lines>25</Lines>
  <Paragraphs>7</Paragraphs>
  <ScaleCrop>false</ScaleCrop>
  <LinksUpToDate>false</LinksUpToDate>
  <CharactersWithSpaces>3556</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2017-05-11T11:33:00Z</dcterms:created>
  <dc:creator>峻铭张</dc:creator>
  <cp:lastModifiedBy>Administrator</cp:lastModifiedBy>
  <dcterms:modified xsi:type="dcterms:W3CDTF">2017-05-13T04:14:46Z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